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08" w:rsidRPr="004C0CA9" w:rsidRDefault="009F4208" w:rsidP="001E7DF1">
      <w:pPr>
        <w:ind w:right="23"/>
        <w:jc w:val="both"/>
        <w:rPr>
          <w:rFonts w:ascii="Arial" w:hAnsi="Arial" w:cs="Arial"/>
          <w:b/>
          <w:bCs/>
          <w:sz w:val="22"/>
          <w:szCs w:val="22"/>
        </w:rPr>
      </w:pPr>
      <w:bookmarkStart w:id="0" w:name="_GoBack"/>
      <w:bookmarkEnd w:id="0"/>
      <w:r>
        <w:rPr>
          <w:rFonts w:ascii="Arial" w:hAnsi="Arial"/>
          <w:b/>
          <w:sz w:val="22"/>
        </w:rPr>
        <w:t xml:space="preserve">High-efficiency twin pumps for heating and air-conditioning systems </w:t>
      </w:r>
    </w:p>
    <w:p w:rsidR="009F4208" w:rsidRPr="007D7956" w:rsidRDefault="009F4208" w:rsidP="001E7DF1">
      <w:pPr>
        <w:ind w:right="23"/>
        <w:jc w:val="both"/>
        <w:rPr>
          <w:rFonts w:ascii="Arial" w:hAnsi="Arial" w:cs="Arial"/>
          <w:sz w:val="22"/>
          <w:szCs w:val="22"/>
        </w:rPr>
      </w:pPr>
    </w:p>
    <w:p w:rsidR="004D6D5E" w:rsidRPr="007D7956" w:rsidRDefault="004D6D5E" w:rsidP="001E7DF1">
      <w:pPr>
        <w:jc w:val="both"/>
        <w:rPr>
          <w:rFonts w:ascii="Arial" w:hAnsi="Arial" w:cs="Arial"/>
          <w:sz w:val="22"/>
          <w:szCs w:val="22"/>
        </w:rPr>
      </w:pPr>
      <w:r>
        <w:rPr>
          <w:rFonts w:ascii="Arial" w:hAnsi="Arial"/>
          <w:sz w:val="22"/>
        </w:rPr>
        <w:t xml:space="preserve">Following the demand for a twin pump version for heating and air-conditioning systems, Frankenthal-based KSB Aktiengesellschaft now offers its Calio glandless pump type series also in twin design. Twin pumps are often used where reliability requirements are high or space is limited. </w:t>
      </w:r>
    </w:p>
    <w:p w:rsidR="004D6D5E" w:rsidRPr="007D7956" w:rsidRDefault="004D6D5E" w:rsidP="001E7DF1">
      <w:pPr>
        <w:jc w:val="both"/>
        <w:rPr>
          <w:rFonts w:ascii="Arial" w:hAnsi="Arial" w:cs="Arial"/>
          <w:sz w:val="22"/>
          <w:szCs w:val="22"/>
        </w:rPr>
      </w:pPr>
    </w:p>
    <w:p w:rsidR="00F20037" w:rsidRPr="007D7956" w:rsidRDefault="004D6D5E" w:rsidP="001E7DF1">
      <w:pPr>
        <w:jc w:val="both"/>
        <w:rPr>
          <w:rFonts w:ascii="Arial" w:hAnsi="Arial" w:cs="Arial"/>
          <w:sz w:val="22"/>
          <w:szCs w:val="22"/>
        </w:rPr>
      </w:pPr>
      <w:r>
        <w:rPr>
          <w:rFonts w:ascii="Arial" w:hAnsi="Arial"/>
          <w:sz w:val="22"/>
        </w:rPr>
        <w:t>During normal operation, one of the two pumps is on duty for 24 hours. After that, it changes to stand-by, and the other pump takes over. This ensures that the load is equally distributed between the two pumps and that they are always ready for operation. Should a failure occur at one of the pump sets, the integrated monitoring system will effect an automatic changeover and send a message to the control station via an integrated interface. Manual pump changeover is also possible.</w:t>
      </w:r>
    </w:p>
    <w:p w:rsidR="00F20037" w:rsidRPr="007D7956" w:rsidRDefault="00F20037" w:rsidP="001E7DF1">
      <w:pPr>
        <w:jc w:val="both"/>
        <w:rPr>
          <w:rFonts w:ascii="Arial" w:hAnsi="Arial" w:cs="Arial"/>
          <w:sz w:val="22"/>
          <w:szCs w:val="22"/>
        </w:rPr>
      </w:pPr>
    </w:p>
    <w:p w:rsidR="00F23DF8" w:rsidRPr="007D7956" w:rsidRDefault="007D7956" w:rsidP="001E7DF1">
      <w:pPr>
        <w:jc w:val="both"/>
        <w:rPr>
          <w:rFonts w:ascii="Arial" w:hAnsi="Arial" w:cs="Arial"/>
          <w:sz w:val="22"/>
          <w:szCs w:val="22"/>
        </w:rPr>
      </w:pPr>
      <w:r>
        <w:rPr>
          <w:rFonts w:ascii="Arial" w:hAnsi="Arial"/>
          <w:sz w:val="22"/>
        </w:rPr>
        <w:t>The integrated swing check valve prevents backflow through the pump while the pump set is not running. The hydraulic operating range covers flow rates of up to 52 m</w:t>
      </w:r>
      <w:r>
        <w:rPr>
          <w:rFonts w:ascii="Arial" w:hAnsi="Arial"/>
          <w:sz w:val="22"/>
          <w:vertAlign w:val="superscript"/>
        </w:rPr>
        <w:t>3</w:t>
      </w:r>
      <w:r>
        <w:rPr>
          <w:rFonts w:ascii="Arial" w:hAnsi="Arial"/>
          <w:sz w:val="22"/>
        </w:rPr>
        <w:t>/h at heads of up to 18 metres of water. The pumps are driven by synchronous, electronically commutated canned motors.</w:t>
      </w:r>
    </w:p>
    <w:p w:rsidR="009F4208" w:rsidRPr="007D7956" w:rsidRDefault="009F4208" w:rsidP="001E7DF1">
      <w:pPr>
        <w:ind w:right="23"/>
        <w:jc w:val="both"/>
        <w:rPr>
          <w:rFonts w:ascii="Arial" w:hAnsi="Arial" w:cs="Arial"/>
          <w:sz w:val="22"/>
          <w:szCs w:val="22"/>
        </w:rPr>
      </w:pPr>
    </w:p>
    <w:p w:rsidR="009F4208" w:rsidRPr="007D7956" w:rsidRDefault="007D7956" w:rsidP="001E7DF1">
      <w:pPr>
        <w:autoSpaceDE w:val="0"/>
        <w:autoSpaceDN w:val="0"/>
        <w:jc w:val="both"/>
        <w:rPr>
          <w:rFonts w:ascii="Arial" w:hAnsi="Arial" w:cs="Arial"/>
          <w:sz w:val="22"/>
          <w:szCs w:val="22"/>
        </w:rPr>
      </w:pPr>
      <w:r>
        <w:rPr>
          <w:rFonts w:ascii="Arial" w:hAnsi="Arial"/>
          <w:sz w:val="22"/>
        </w:rPr>
        <w:t>Common building services signals are processed by the pumps, which are fitted with the required interfaces as standard. With the integrated Modbus interface, existing automation systems can easily be linked. Other product-integrated analog and digital interfaces are also available.</w:t>
      </w:r>
    </w:p>
    <w:p w:rsidR="009F4208" w:rsidRPr="007D7956" w:rsidRDefault="009F4208" w:rsidP="001E7DF1">
      <w:pPr>
        <w:autoSpaceDE w:val="0"/>
        <w:autoSpaceDN w:val="0"/>
        <w:jc w:val="both"/>
        <w:rPr>
          <w:rFonts w:ascii="Arial" w:hAnsi="Arial" w:cs="Arial"/>
          <w:sz w:val="22"/>
          <w:szCs w:val="22"/>
        </w:rPr>
      </w:pPr>
    </w:p>
    <w:p w:rsidR="009F4208" w:rsidRPr="007D7956" w:rsidRDefault="009F4208" w:rsidP="001E7DF1">
      <w:pPr>
        <w:autoSpaceDE w:val="0"/>
        <w:autoSpaceDN w:val="0"/>
        <w:jc w:val="both"/>
        <w:rPr>
          <w:rFonts w:ascii="Arial" w:hAnsi="Arial" w:cs="Arial"/>
          <w:sz w:val="22"/>
          <w:szCs w:val="22"/>
        </w:rPr>
      </w:pPr>
      <w:r>
        <w:rPr>
          <w:rFonts w:ascii="Arial" w:hAnsi="Arial"/>
          <w:sz w:val="22"/>
        </w:rPr>
        <w:t>In addition to the familiar operating modes of constant-pressure control, proportional-pressure control and fixed speed operation, the newly developed operating software comprising an integrated energy-saving function called Eco Mode further saves the user considerable costs.</w:t>
      </w:r>
    </w:p>
    <w:p w:rsidR="009F4208" w:rsidRPr="007D7956" w:rsidRDefault="009F4208" w:rsidP="001E7DF1">
      <w:pPr>
        <w:autoSpaceDE w:val="0"/>
        <w:autoSpaceDN w:val="0"/>
        <w:jc w:val="both"/>
        <w:rPr>
          <w:rFonts w:ascii="Arial" w:hAnsi="Arial" w:cs="Arial"/>
          <w:sz w:val="22"/>
          <w:szCs w:val="22"/>
        </w:rPr>
      </w:pPr>
    </w:p>
    <w:p w:rsidR="009F4208" w:rsidRPr="007D7956" w:rsidRDefault="009F4208" w:rsidP="001E7DF1">
      <w:pPr>
        <w:autoSpaceDE w:val="0"/>
        <w:autoSpaceDN w:val="0"/>
        <w:jc w:val="both"/>
        <w:rPr>
          <w:rFonts w:ascii="Arial" w:hAnsi="Arial" w:cs="Arial"/>
          <w:sz w:val="22"/>
          <w:szCs w:val="22"/>
        </w:rPr>
      </w:pPr>
      <w:r>
        <w:rPr>
          <w:rFonts w:ascii="Arial" w:hAnsi="Arial"/>
          <w:sz w:val="22"/>
        </w:rPr>
        <w:t>The user interface combined with an integrated display and symbols indicating the operating mode provide a high comfort of operation. The user is shown the current power input in watts and the flow rate in cubic metres. Just like the smaller Calio sizes, the new pumps satisfy all current efficiency regulations.</w:t>
      </w:r>
    </w:p>
    <w:p w:rsidR="009F4208" w:rsidRPr="007D7956" w:rsidRDefault="009F4208" w:rsidP="001E7DF1">
      <w:pPr>
        <w:autoSpaceDE w:val="0"/>
        <w:autoSpaceDN w:val="0"/>
        <w:jc w:val="both"/>
        <w:rPr>
          <w:rFonts w:ascii="Arial" w:hAnsi="Arial" w:cs="Arial"/>
          <w:sz w:val="22"/>
          <w:szCs w:val="22"/>
        </w:rPr>
      </w:pPr>
    </w:p>
    <w:p w:rsidR="009F4208" w:rsidRPr="007D7956" w:rsidRDefault="009F4208" w:rsidP="001E7DF1">
      <w:pPr>
        <w:autoSpaceDE w:val="0"/>
        <w:autoSpaceDN w:val="0"/>
        <w:jc w:val="both"/>
        <w:rPr>
          <w:rFonts w:ascii="Arial" w:hAnsi="Arial" w:cs="Arial"/>
          <w:sz w:val="22"/>
          <w:szCs w:val="22"/>
        </w:rPr>
      </w:pPr>
      <w:r>
        <w:rPr>
          <w:rFonts w:ascii="Arial" w:hAnsi="Arial"/>
          <w:sz w:val="22"/>
        </w:rPr>
        <w:t>The fluid temperature range from -10 °C to +110 °C makes the new pump sets suitable for a wide variety of applications, from heating water to coolant transport and</w:t>
      </w:r>
      <w:r>
        <w:rPr>
          <w:rFonts w:ascii="Arial" w:hAnsi="Arial"/>
          <w:color w:val="1F497D"/>
          <w:sz w:val="22"/>
        </w:rPr>
        <w:t xml:space="preserve"> </w:t>
      </w:r>
      <w:r>
        <w:rPr>
          <w:rFonts w:ascii="Arial" w:hAnsi="Arial"/>
          <w:sz w:val="22"/>
        </w:rPr>
        <w:t xml:space="preserve">industrial recirculation systems. </w:t>
      </w:r>
    </w:p>
    <w:p w:rsidR="009F4208" w:rsidRPr="007D7956" w:rsidRDefault="009F4208" w:rsidP="001E7DF1">
      <w:pPr>
        <w:ind w:right="23"/>
        <w:jc w:val="both"/>
        <w:rPr>
          <w:rFonts w:ascii="Arial" w:hAnsi="Arial" w:cs="Arial"/>
          <w:sz w:val="22"/>
          <w:szCs w:val="22"/>
        </w:rPr>
      </w:pPr>
    </w:p>
    <w:p w:rsidR="00590E59" w:rsidRPr="007D7956" w:rsidRDefault="000907F6" w:rsidP="001E7DF1">
      <w:pPr>
        <w:jc w:val="both"/>
        <w:rPr>
          <w:sz w:val="22"/>
          <w:szCs w:val="22"/>
        </w:rPr>
      </w:pPr>
      <w:r>
        <w:rPr>
          <w:rFonts w:ascii="Arial" w:hAnsi="Arial"/>
          <w:sz w:val="22"/>
        </w:rPr>
        <w:t>Photo: The new Calio Z twin pumps are used where reliability requirements are high or space is limited. (KSB Aktiengesellschaft, Frankenthal, Germany)</w:t>
      </w:r>
    </w:p>
    <w:sectPr w:rsidR="00590E59" w:rsidRPr="007D7956" w:rsidSect="001E7DF1">
      <w:pgSz w:w="12240" w:h="15840"/>
      <w:pgMar w:top="1418" w:right="2459" w:bottom="1134" w:left="2268" w:header="426" w:footer="3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74A" w:rsidRDefault="0092374A" w:rsidP="0033169A">
      <w:r>
        <w:separator/>
      </w:r>
    </w:p>
  </w:endnote>
  <w:endnote w:type="continuationSeparator" w:id="0">
    <w:p w:rsidR="0092374A" w:rsidRDefault="0092374A" w:rsidP="0033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74A" w:rsidRDefault="0092374A" w:rsidP="0033169A">
      <w:r>
        <w:separator/>
      </w:r>
    </w:p>
  </w:footnote>
  <w:footnote w:type="continuationSeparator" w:id="0">
    <w:p w:rsidR="0092374A" w:rsidRDefault="0092374A" w:rsidP="00331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23EED1-FD18-40C8-A419-CF3E293EAF7F}"/>
    <w:docVar w:name="dgnword-eventsink" w:val="101933848"/>
  </w:docVars>
  <w:rsids>
    <w:rsidRoot w:val="009348B6"/>
    <w:rsid w:val="0001130C"/>
    <w:rsid w:val="000267E2"/>
    <w:rsid w:val="00050D73"/>
    <w:rsid w:val="000873D7"/>
    <w:rsid w:val="000907F6"/>
    <w:rsid w:val="000B05E8"/>
    <w:rsid w:val="000D0DAC"/>
    <w:rsid w:val="00104094"/>
    <w:rsid w:val="00193002"/>
    <w:rsid w:val="00193D47"/>
    <w:rsid w:val="001C3B97"/>
    <w:rsid w:val="001E7DF1"/>
    <w:rsid w:val="001F7A1C"/>
    <w:rsid w:val="0022570E"/>
    <w:rsid w:val="0025545D"/>
    <w:rsid w:val="002770B7"/>
    <w:rsid w:val="002A6C50"/>
    <w:rsid w:val="002B27B4"/>
    <w:rsid w:val="002B304F"/>
    <w:rsid w:val="002D141D"/>
    <w:rsid w:val="002E28BD"/>
    <w:rsid w:val="002E46CF"/>
    <w:rsid w:val="00326600"/>
    <w:rsid w:val="0033169A"/>
    <w:rsid w:val="00333D8F"/>
    <w:rsid w:val="00340156"/>
    <w:rsid w:val="00357DD9"/>
    <w:rsid w:val="0036314B"/>
    <w:rsid w:val="00363A93"/>
    <w:rsid w:val="00396904"/>
    <w:rsid w:val="003D5A2C"/>
    <w:rsid w:val="003E700F"/>
    <w:rsid w:val="003E703F"/>
    <w:rsid w:val="0040200A"/>
    <w:rsid w:val="00407557"/>
    <w:rsid w:val="004204C6"/>
    <w:rsid w:val="004241BA"/>
    <w:rsid w:val="004559D4"/>
    <w:rsid w:val="004A283B"/>
    <w:rsid w:val="004B08A2"/>
    <w:rsid w:val="004C0CA9"/>
    <w:rsid w:val="004C5306"/>
    <w:rsid w:val="004D6D5E"/>
    <w:rsid w:val="004E4677"/>
    <w:rsid w:val="004F2979"/>
    <w:rsid w:val="004F4E4D"/>
    <w:rsid w:val="00551B21"/>
    <w:rsid w:val="00563C58"/>
    <w:rsid w:val="00590E59"/>
    <w:rsid w:val="005A2B52"/>
    <w:rsid w:val="005A3B87"/>
    <w:rsid w:val="005B09AA"/>
    <w:rsid w:val="005B1986"/>
    <w:rsid w:val="005C5E38"/>
    <w:rsid w:val="005E331A"/>
    <w:rsid w:val="005F0BE7"/>
    <w:rsid w:val="005F363E"/>
    <w:rsid w:val="005F58F9"/>
    <w:rsid w:val="0064647E"/>
    <w:rsid w:val="00650C84"/>
    <w:rsid w:val="00690406"/>
    <w:rsid w:val="006959AA"/>
    <w:rsid w:val="006D43D1"/>
    <w:rsid w:val="006D595F"/>
    <w:rsid w:val="006F2BB4"/>
    <w:rsid w:val="00703273"/>
    <w:rsid w:val="00753B82"/>
    <w:rsid w:val="00772E9F"/>
    <w:rsid w:val="007A14DA"/>
    <w:rsid w:val="007B465F"/>
    <w:rsid w:val="007B5718"/>
    <w:rsid w:val="007D63C2"/>
    <w:rsid w:val="007D717E"/>
    <w:rsid w:val="007D7956"/>
    <w:rsid w:val="007D7A7D"/>
    <w:rsid w:val="007E5FBC"/>
    <w:rsid w:val="0082644A"/>
    <w:rsid w:val="008264A3"/>
    <w:rsid w:val="00842854"/>
    <w:rsid w:val="00852CC2"/>
    <w:rsid w:val="00861330"/>
    <w:rsid w:val="0086390B"/>
    <w:rsid w:val="008661F0"/>
    <w:rsid w:val="00870E22"/>
    <w:rsid w:val="00877076"/>
    <w:rsid w:val="00886A86"/>
    <w:rsid w:val="008A409E"/>
    <w:rsid w:val="008A6C74"/>
    <w:rsid w:val="008B1CDC"/>
    <w:rsid w:val="008E1456"/>
    <w:rsid w:val="00907734"/>
    <w:rsid w:val="0092374A"/>
    <w:rsid w:val="00927A58"/>
    <w:rsid w:val="00927AB6"/>
    <w:rsid w:val="009303E6"/>
    <w:rsid w:val="009348B6"/>
    <w:rsid w:val="00956097"/>
    <w:rsid w:val="00962647"/>
    <w:rsid w:val="009A0A9C"/>
    <w:rsid w:val="009A1868"/>
    <w:rsid w:val="009A324C"/>
    <w:rsid w:val="009D0DF9"/>
    <w:rsid w:val="009E1432"/>
    <w:rsid w:val="009E7AFD"/>
    <w:rsid w:val="009F4208"/>
    <w:rsid w:val="00A16C47"/>
    <w:rsid w:val="00A47CC0"/>
    <w:rsid w:val="00A81979"/>
    <w:rsid w:val="00AA7C77"/>
    <w:rsid w:val="00AB1A38"/>
    <w:rsid w:val="00AB3203"/>
    <w:rsid w:val="00AC1338"/>
    <w:rsid w:val="00AC6B7E"/>
    <w:rsid w:val="00AC7C4E"/>
    <w:rsid w:val="00AE45D8"/>
    <w:rsid w:val="00AE77E6"/>
    <w:rsid w:val="00AF1658"/>
    <w:rsid w:val="00B1296F"/>
    <w:rsid w:val="00B3177D"/>
    <w:rsid w:val="00B4260F"/>
    <w:rsid w:val="00B44C24"/>
    <w:rsid w:val="00B555FF"/>
    <w:rsid w:val="00B72C98"/>
    <w:rsid w:val="00B83A00"/>
    <w:rsid w:val="00B857E0"/>
    <w:rsid w:val="00BA4BC7"/>
    <w:rsid w:val="00BC773A"/>
    <w:rsid w:val="00C221D7"/>
    <w:rsid w:val="00C275E4"/>
    <w:rsid w:val="00C37904"/>
    <w:rsid w:val="00C53730"/>
    <w:rsid w:val="00C76560"/>
    <w:rsid w:val="00C77D60"/>
    <w:rsid w:val="00C90DC4"/>
    <w:rsid w:val="00C91107"/>
    <w:rsid w:val="00CC0DB5"/>
    <w:rsid w:val="00D22132"/>
    <w:rsid w:val="00D34CC7"/>
    <w:rsid w:val="00D9287E"/>
    <w:rsid w:val="00D96F4E"/>
    <w:rsid w:val="00DA3DB3"/>
    <w:rsid w:val="00DB5BB1"/>
    <w:rsid w:val="00DC62C1"/>
    <w:rsid w:val="00DF03A0"/>
    <w:rsid w:val="00DF7273"/>
    <w:rsid w:val="00E01652"/>
    <w:rsid w:val="00E208EE"/>
    <w:rsid w:val="00E66E5B"/>
    <w:rsid w:val="00E87969"/>
    <w:rsid w:val="00EA0709"/>
    <w:rsid w:val="00EB3A60"/>
    <w:rsid w:val="00EC355C"/>
    <w:rsid w:val="00ED6D2A"/>
    <w:rsid w:val="00F20037"/>
    <w:rsid w:val="00F201B6"/>
    <w:rsid w:val="00F237D1"/>
    <w:rsid w:val="00F23DF8"/>
    <w:rsid w:val="00F72ECA"/>
    <w:rsid w:val="00F82B77"/>
    <w:rsid w:val="00F9720F"/>
    <w:rsid w:val="00FA2BFF"/>
    <w:rsid w:val="00FB0B89"/>
    <w:rsid w:val="00FC554A"/>
    <w:rsid w:val="00FE5226"/>
    <w:rsid w:val="00FF381B"/>
    <w:rsid w:val="00FF4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BBD0A7-1EB3-41B7-93E9-C215B4CB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58F9"/>
    <w:rPr>
      <w:sz w:val="24"/>
      <w:szCs w:val="24"/>
    </w:rPr>
  </w:style>
  <w:style w:type="paragraph" w:styleId="berschrift1">
    <w:name w:val="heading 1"/>
    <w:basedOn w:val="Standard"/>
    <w:next w:val="Standard"/>
    <w:link w:val="berschrift1Zchn"/>
    <w:qFormat/>
    <w:rsid w:val="009A1868"/>
    <w:pPr>
      <w:keepNext/>
      <w:spacing w:line="360" w:lineRule="auto"/>
      <w:jc w:val="both"/>
      <w:outlineLvl w:val="0"/>
    </w:pPr>
    <w:rPr>
      <w:rFonts w:ascii="Arial" w:hAnsi="Arial" w:cs="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A1868"/>
    <w:rPr>
      <w:rFonts w:ascii="Arial" w:hAnsi="Arial" w:cs="Arial"/>
      <w:i/>
      <w:iCs/>
      <w:sz w:val="24"/>
      <w:szCs w:val="24"/>
      <w:lang w:val="en-GB" w:eastAsia="en-GB" w:bidi="en-GB"/>
    </w:rPr>
  </w:style>
  <w:style w:type="paragraph" w:styleId="Kopfzeile">
    <w:name w:val="header"/>
    <w:basedOn w:val="Standard"/>
    <w:link w:val="KopfzeileZchn"/>
    <w:rsid w:val="009A1868"/>
    <w:pPr>
      <w:tabs>
        <w:tab w:val="center" w:pos="4536"/>
        <w:tab w:val="right" w:pos="9072"/>
      </w:tabs>
      <w:spacing w:line="360" w:lineRule="auto"/>
      <w:jc w:val="both"/>
    </w:pPr>
    <w:rPr>
      <w:rFonts w:ascii="Verdana" w:hAnsi="Verdana" w:cs="Verdana"/>
      <w:sz w:val="20"/>
      <w:szCs w:val="20"/>
    </w:rPr>
  </w:style>
  <w:style w:type="character" w:customStyle="1" w:styleId="KopfzeileZchn">
    <w:name w:val="Kopfzeile Zchn"/>
    <w:basedOn w:val="Absatz-Standardschriftart"/>
    <w:link w:val="Kopfzeile"/>
    <w:semiHidden/>
    <w:locked/>
    <w:rsid w:val="009A1868"/>
    <w:rPr>
      <w:rFonts w:ascii="Verdana" w:hAnsi="Verdana" w:cs="Verdana"/>
      <w:lang w:val="en-GB" w:eastAsia="en-GB" w:bidi="en-GB"/>
    </w:rPr>
  </w:style>
  <w:style w:type="paragraph" w:styleId="Textkrper">
    <w:name w:val="Body Text"/>
    <w:basedOn w:val="Standard"/>
    <w:link w:val="TextkrperZchn"/>
    <w:rsid w:val="009A1868"/>
    <w:pPr>
      <w:spacing w:line="360" w:lineRule="auto"/>
      <w:jc w:val="both"/>
    </w:pPr>
    <w:rPr>
      <w:rFonts w:ascii="Verdana" w:hAnsi="Verdana" w:cs="Verdana"/>
      <w:b/>
      <w:bCs/>
      <w:sz w:val="30"/>
      <w:szCs w:val="30"/>
    </w:rPr>
  </w:style>
  <w:style w:type="character" w:customStyle="1" w:styleId="TextkrperZchn">
    <w:name w:val="Textkörper Zchn"/>
    <w:basedOn w:val="Absatz-Standardschriftart"/>
    <w:link w:val="Textkrper"/>
    <w:semiHidden/>
    <w:locked/>
    <w:rsid w:val="009A1868"/>
    <w:rPr>
      <w:rFonts w:ascii="Verdana" w:hAnsi="Verdana" w:cs="Verdana"/>
      <w:b/>
      <w:bCs/>
      <w:sz w:val="30"/>
      <w:szCs w:val="30"/>
      <w:lang w:val="en-GB" w:eastAsia="en-GB" w:bidi="en-GB"/>
    </w:rPr>
  </w:style>
  <w:style w:type="paragraph" w:styleId="Sprechblasentext">
    <w:name w:val="Balloon Text"/>
    <w:basedOn w:val="Standard"/>
    <w:semiHidden/>
    <w:rsid w:val="000D0DAC"/>
    <w:rPr>
      <w:rFonts w:ascii="Tahoma" w:hAnsi="Tahoma" w:cs="Tahoma"/>
      <w:sz w:val="16"/>
      <w:szCs w:val="16"/>
    </w:rPr>
  </w:style>
  <w:style w:type="character" w:styleId="Kommentarzeichen">
    <w:name w:val="annotation reference"/>
    <w:basedOn w:val="Absatz-Standardschriftart"/>
    <w:rsid w:val="0082644A"/>
    <w:rPr>
      <w:sz w:val="16"/>
      <w:szCs w:val="16"/>
    </w:rPr>
  </w:style>
  <w:style w:type="paragraph" w:styleId="Kommentartext">
    <w:name w:val="annotation text"/>
    <w:basedOn w:val="Standard"/>
    <w:link w:val="KommentartextZchn"/>
    <w:rsid w:val="0082644A"/>
    <w:rPr>
      <w:sz w:val="20"/>
      <w:szCs w:val="20"/>
    </w:rPr>
  </w:style>
  <w:style w:type="character" w:customStyle="1" w:styleId="KommentartextZchn">
    <w:name w:val="Kommentartext Zchn"/>
    <w:basedOn w:val="Absatz-Standardschriftart"/>
    <w:link w:val="Kommentartext"/>
    <w:rsid w:val="0082644A"/>
  </w:style>
  <w:style w:type="paragraph" w:styleId="Kommentarthema">
    <w:name w:val="annotation subject"/>
    <w:basedOn w:val="Kommentartext"/>
    <w:next w:val="Kommentartext"/>
    <w:link w:val="KommentarthemaZchn"/>
    <w:rsid w:val="0082644A"/>
    <w:rPr>
      <w:b/>
      <w:bCs/>
    </w:rPr>
  </w:style>
  <w:style w:type="character" w:customStyle="1" w:styleId="KommentarthemaZchn">
    <w:name w:val="Kommentarthema Zchn"/>
    <w:basedOn w:val="KommentartextZchn"/>
    <w:link w:val="Kommentarthema"/>
    <w:rsid w:val="0082644A"/>
    <w:rPr>
      <w:b/>
      <w:bCs/>
    </w:rPr>
  </w:style>
  <w:style w:type="paragraph" w:styleId="Fuzeile">
    <w:name w:val="footer"/>
    <w:basedOn w:val="Standard"/>
    <w:link w:val="FuzeileZchn"/>
    <w:rsid w:val="0033169A"/>
    <w:pPr>
      <w:tabs>
        <w:tab w:val="center" w:pos="4513"/>
        <w:tab w:val="right" w:pos="9026"/>
      </w:tabs>
    </w:pPr>
  </w:style>
  <w:style w:type="character" w:customStyle="1" w:styleId="FuzeileZchn">
    <w:name w:val="Fußzeile Zchn"/>
    <w:basedOn w:val="Absatz-Standardschriftart"/>
    <w:link w:val="Fuzeile"/>
    <w:rsid w:val="003316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79864">
      <w:bodyDiv w:val="1"/>
      <w:marLeft w:val="0"/>
      <w:marRight w:val="0"/>
      <w:marTop w:val="0"/>
      <w:marBottom w:val="0"/>
      <w:divBdr>
        <w:top w:val="none" w:sz="0" w:space="0" w:color="auto"/>
        <w:left w:val="none" w:sz="0" w:space="0" w:color="auto"/>
        <w:bottom w:val="none" w:sz="0" w:space="0" w:color="auto"/>
        <w:right w:val="none" w:sz="0" w:space="0" w:color="auto"/>
      </w:divBdr>
    </w:div>
    <w:div w:id="1638874313">
      <w:bodyDiv w:val="1"/>
      <w:marLeft w:val="0"/>
      <w:marRight w:val="0"/>
      <w:marTop w:val="0"/>
      <w:marBottom w:val="0"/>
      <w:divBdr>
        <w:top w:val="none" w:sz="0" w:space="0" w:color="auto"/>
        <w:left w:val="none" w:sz="0" w:space="0" w:color="auto"/>
        <w:bottom w:val="none" w:sz="0" w:space="0" w:color="auto"/>
        <w:right w:val="none" w:sz="0" w:space="0" w:color="auto"/>
      </w:divBdr>
    </w:div>
    <w:div w:id="167688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40A22-C070-4801-97A3-1A3A3090F25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88FF4EA-CCA0-4DEB-B3D8-0277D2D5D922}">
  <ds:schemaRefs>
    <ds:schemaRef ds:uri="http://schemas.microsoft.com/sharepoint/v3/contenttype/forms"/>
  </ds:schemaRefs>
</ds:datastoreItem>
</file>

<file path=customXml/itemProps3.xml><?xml version="1.0" encoding="utf-8"?>
<ds:datastoreItem xmlns:ds="http://schemas.openxmlformats.org/officeDocument/2006/customXml" ds:itemID="{564F019B-53EE-4438-9D71-CA3FE53E7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DD96159-BDAD-4689-AFD8-48125FEB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Bis zu 90 Prozent Stromkosten sparen</vt:lpstr>
    </vt:vector>
  </TitlesOfParts>
  <Company>KSB AG</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zu 90 Prozent Stromkosten sparen</dc:title>
  <dc:creator>Christoph Pauly</dc:creator>
  <cp:lastModifiedBy>Steffel, Lena</cp:lastModifiedBy>
  <cp:revision>2</cp:revision>
  <cp:lastPrinted>2015-08-24T09:48:00Z</cp:lastPrinted>
  <dcterms:created xsi:type="dcterms:W3CDTF">2021-03-09T10:17:00Z</dcterms:created>
  <dcterms:modified xsi:type="dcterms:W3CDTF">2021-03-09T10:17:00Z</dcterms:modified>
</cp:coreProperties>
</file>