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70" w:rsidRDefault="00B92F00" w:rsidP="0006711E">
      <w:pPr>
        <w:pStyle w:val="berschrift1"/>
        <w:spacing w:line="324" w:lineRule="auto"/>
      </w:pPr>
      <w:bookmarkStart w:id="0" w:name="_GoBack"/>
      <w:bookmarkEnd w:id="0"/>
      <w:r>
        <w:t>Preliminary report on financial year 2015</w:t>
      </w:r>
    </w:p>
    <w:p w:rsidR="00D17C2A" w:rsidRDefault="00D17C2A" w:rsidP="00053F9F">
      <w:pPr>
        <w:pStyle w:val="berschrift1"/>
        <w:spacing w:line="324" w:lineRule="auto"/>
        <w:rPr>
          <w:sz w:val="36"/>
          <w:szCs w:val="36"/>
        </w:rPr>
      </w:pPr>
    </w:p>
    <w:p w:rsidR="00B24E70" w:rsidRPr="00AC3751" w:rsidRDefault="00D17C2A" w:rsidP="00B935A3">
      <w:pPr>
        <w:pStyle w:val="berschrift1"/>
        <w:spacing w:line="324" w:lineRule="auto"/>
        <w:rPr>
          <w:sz w:val="36"/>
          <w:szCs w:val="36"/>
        </w:rPr>
      </w:pPr>
      <w:r>
        <w:rPr>
          <w:sz w:val="36"/>
        </w:rPr>
        <w:t>Sales revenue growth despite weaker order levels</w:t>
      </w:r>
    </w:p>
    <w:p w:rsidR="00B24E70" w:rsidRDefault="00B24E70" w:rsidP="00B24E70"/>
    <w:p w:rsidR="00B24E70" w:rsidRPr="00B24E70" w:rsidRDefault="00B24E70" w:rsidP="00B24E70"/>
    <w:p w:rsidR="00B24E70" w:rsidRDefault="00B24E70" w:rsidP="00B24E70">
      <w:pPr>
        <w:pStyle w:val="berschrift1"/>
        <w:spacing w:line="324" w:lineRule="auto"/>
        <w:rPr>
          <w:sz w:val="24"/>
        </w:rPr>
      </w:pPr>
      <w:r>
        <w:rPr>
          <w:sz w:val="24"/>
        </w:rPr>
        <w:t>Economic environment</w:t>
      </w:r>
    </w:p>
    <w:p w:rsidR="00114B40" w:rsidRDefault="00114B40" w:rsidP="00114B40"/>
    <w:p w:rsidR="00D17C2A" w:rsidRDefault="00D17C2A" w:rsidP="00C62871">
      <w:pPr>
        <w:spacing w:line="324" w:lineRule="auto"/>
        <w:jc w:val="both"/>
      </w:pPr>
      <w:r>
        <w:t>The business situation in mechanical and plant engineering improved only minimally in 2015. Globally, the sector’s sales revenue grew by a mere 1 %. In contrast, the sales revenues recorded by German pump manufacturers lagged noticeably behind the previous year’s figures. As far as industrial valves are concerned, the preliminary figures point to stagnating sales revenue by German manufacturers.</w:t>
      </w:r>
    </w:p>
    <w:p w:rsidR="00053F9F" w:rsidRDefault="00053F9F" w:rsidP="00053F9F">
      <w:pPr>
        <w:spacing w:line="324" w:lineRule="auto"/>
        <w:jc w:val="both"/>
      </w:pPr>
    </w:p>
    <w:p w:rsidR="00045449" w:rsidRDefault="00045449" w:rsidP="00DC3285">
      <w:pPr>
        <w:spacing w:line="324" w:lineRule="auto"/>
        <w:jc w:val="both"/>
      </w:pPr>
      <w:r>
        <w:t xml:space="preserve">In terms of the main sales markets for pumps and valves, demand developed positively in the manufacturing sector, the chemical industry, and the water and waste water management industries, while the oil and gas industry, as well as petrochemicals, suffered major slumps. Investments by companies in the mining and energy sectors also remained modest. </w:t>
      </w:r>
    </w:p>
    <w:p w:rsidR="00114B40" w:rsidRDefault="00114B40" w:rsidP="00114B40">
      <w:pPr>
        <w:spacing w:line="324" w:lineRule="auto"/>
      </w:pPr>
    </w:p>
    <w:p w:rsidR="00B24E70" w:rsidRPr="00FA41C3" w:rsidRDefault="00B24E70" w:rsidP="00114B40">
      <w:pPr>
        <w:pStyle w:val="berschrift2"/>
        <w:spacing w:line="324" w:lineRule="auto"/>
        <w:rPr>
          <w:sz w:val="18"/>
          <w:szCs w:val="18"/>
        </w:rPr>
      </w:pPr>
      <w:r>
        <w:t xml:space="preserve">Key Group figures as per 31 December 2015 </w:t>
      </w:r>
      <w:r>
        <w:rPr>
          <w:sz w:val="18"/>
        </w:rPr>
        <w:t>(preliminary figures)</w:t>
      </w:r>
    </w:p>
    <w:p w:rsidR="00A14ECA" w:rsidRPr="00A14ECA" w:rsidRDefault="00A14ECA" w:rsidP="00A14ECA"/>
    <w:tbl>
      <w:tblPr>
        <w:tblW w:w="0" w:type="auto"/>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160"/>
        <w:gridCol w:w="1134"/>
        <w:gridCol w:w="1985"/>
        <w:gridCol w:w="1985"/>
        <w:gridCol w:w="1758"/>
      </w:tblGrid>
      <w:tr w:rsidR="00B24E70" w:rsidRPr="008C7112" w:rsidTr="00F707CD">
        <w:tc>
          <w:tcPr>
            <w:tcW w:w="2160" w:type="dxa"/>
            <w:tcBorders>
              <w:top w:val="single" w:sz="12" w:space="0" w:color="auto"/>
              <w:left w:val="single" w:sz="12" w:space="0" w:color="auto"/>
              <w:bottom w:val="single" w:sz="6" w:space="0" w:color="auto"/>
              <w:right w:val="single" w:sz="6" w:space="0" w:color="auto"/>
            </w:tcBorders>
            <w:hideMark/>
          </w:tcPr>
          <w:p w:rsidR="00B24E70" w:rsidRPr="00FA41C3" w:rsidRDefault="00B24E70" w:rsidP="00B24E70">
            <w:pPr>
              <w:pStyle w:val="berschrift3"/>
              <w:spacing w:line="324" w:lineRule="auto"/>
              <w:rPr>
                <w:rFonts w:eastAsiaTheme="minorEastAsia"/>
              </w:rPr>
            </w:pPr>
            <w:bookmarkStart w:id="1" w:name="OLE_LINK3"/>
            <w:r>
              <w:t>KSB Group</w:t>
            </w:r>
          </w:p>
        </w:tc>
        <w:tc>
          <w:tcPr>
            <w:tcW w:w="1134" w:type="dxa"/>
            <w:tcBorders>
              <w:top w:val="single" w:sz="12" w:space="0" w:color="auto"/>
              <w:left w:val="single" w:sz="6" w:space="0" w:color="auto"/>
              <w:bottom w:val="single" w:sz="6" w:space="0" w:color="auto"/>
              <w:right w:val="single" w:sz="6" w:space="0" w:color="auto"/>
            </w:tcBorders>
          </w:tcPr>
          <w:p w:rsidR="00B24E70" w:rsidRPr="00FA41C3" w:rsidRDefault="00B24E70" w:rsidP="00B24E70">
            <w:pPr>
              <w:spacing w:line="324" w:lineRule="auto"/>
            </w:pPr>
          </w:p>
        </w:tc>
        <w:tc>
          <w:tcPr>
            <w:tcW w:w="1985" w:type="dxa"/>
            <w:tcBorders>
              <w:top w:val="single" w:sz="12" w:space="0" w:color="auto"/>
              <w:left w:val="single" w:sz="6" w:space="0" w:color="auto"/>
              <w:bottom w:val="single" w:sz="6" w:space="0" w:color="auto"/>
              <w:right w:val="single" w:sz="6" w:space="0" w:color="auto"/>
            </w:tcBorders>
            <w:hideMark/>
          </w:tcPr>
          <w:p w:rsidR="00B24E70" w:rsidRPr="00FA41C3" w:rsidRDefault="00B24E70" w:rsidP="00045449">
            <w:pPr>
              <w:spacing w:line="324" w:lineRule="auto"/>
            </w:pPr>
            <w:r>
              <w:t>01-12/2015</w:t>
            </w:r>
          </w:p>
        </w:tc>
        <w:tc>
          <w:tcPr>
            <w:tcW w:w="1985" w:type="dxa"/>
            <w:tcBorders>
              <w:top w:val="single" w:sz="12" w:space="0" w:color="auto"/>
              <w:left w:val="single" w:sz="6" w:space="0" w:color="auto"/>
              <w:bottom w:val="single" w:sz="6" w:space="0" w:color="auto"/>
              <w:right w:val="single" w:sz="6" w:space="0" w:color="auto"/>
            </w:tcBorders>
            <w:hideMark/>
          </w:tcPr>
          <w:p w:rsidR="00B24E70" w:rsidRPr="00FA41C3" w:rsidRDefault="00B24E70" w:rsidP="00045449">
            <w:pPr>
              <w:spacing w:line="324" w:lineRule="auto"/>
            </w:pPr>
            <w:r>
              <w:t>01-12/2014</w:t>
            </w:r>
          </w:p>
        </w:tc>
        <w:tc>
          <w:tcPr>
            <w:tcW w:w="1758" w:type="dxa"/>
            <w:tcBorders>
              <w:top w:val="single" w:sz="12" w:space="0" w:color="auto"/>
              <w:left w:val="single" w:sz="6" w:space="0" w:color="auto"/>
              <w:bottom w:val="single" w:sz="6" w:space="0" w:color="auto"/>
              <w:right w:val="single" w:sz="12" w:space="0" w:color="auto"/>
            </w:tcBorders>
            <w:hideMark/>
          </w:tcPr>
          <w:p w:rsidR="00B24E70" w:rsidRPr="00FA41C3" w:rsidRDefault="00B24E70" w:rsidP="00B24E70">
            <w:pPr>
              <w:pStyle w:val="Kopfzeile"/>
              <w:spacing w:line="324" w:lineRule="auto"/>
              <w:rPr>
                <w:sz w:val="24"/>
              </w:rPr>
            </w:pPr>
            <w:r>
              <w:rPr>
                <w:sz w:val="24"/>
              </w:rPr>
              <w:t>Change</w:t>
            </w:r>
          </w:p>
        </w:tc>
      </w:tr>
      <w:tr w:rsidR="00B15F05" w:rsidRPr="00094E62" w:rsidTr="00F707CD">
        <w:tc>
          <w:tcPr>
            <w:tcW w:w="2160" w:type="dxa"/>
            <w:tcBorders>
              <w:top w:val="single" w:sz="6" w:space="0" w:color="auto"/>
              <w:left w:val="single" w:sz="12" w:space="0" w:color="auto"/>
              <w:bottom w:val="single" w:sz="6" w:space="0" w:color="auto"/>
              <w:right w:val="single" w:sz="6" w:space="0" w:color="auto"/>
            </w:tcBorders>
            <w:hideMark/>
          </w:tcPr>
          <w:p w:rsidR="00B15F05" w:rsidRPr="00094E62" w:rsidRDefault="00B15F05" w:rsidP="00B24E70">
            <w:pPr>
              <w:spacing w:line="324" w:lineRule="auto"/>
            </w:pPr>
            <w:r>
              <w:t>Order intake</w:t>
            </w:r>
          </w:p>
        </w:tc>
        <w:tc>
          <w:tcPr>
            <w:tcW w:w="1134" w:type="dxa"/>
            <w:tcBorders>
              <w:top w:val="single" w:sz="6" w:space="0" w:color="auto"/>
              <w:left w:val="single" w:sz="6" w:space="0" w:color="auto"/>
              <w:bottom w:val="single" w:sz="6" w:space="0" w:color="auto"/>
              <w:right w:val="single" w:sz="6" w:space="0" w:color="auto"/>
            </w:tcBorders>
            <w:hideMark/>
          </w:tcPr>
          <w:p w:rsidR="00B15F05" w:rsidRPr="00094E62" w:rsidRDefault="00B15F05" w:rsidP="00B24E70">
            <w:pPr>
              <w:spacing w:line="324" w:lineRule="auto"/>
            </w:pPr>
            <w:r>
              <w:t>€ million</w:t>
            </w:r>
          </w:p>
        </w:tc>
        <w:tc>
          <w:tcPr>
            <w:tcW w:w="1985" w:type="dxa"/>
            <w:tcBorders>
              <w:top w:val="single" w:sz="6" w:space="0" w:color="auto"/>
              <w:left w:val="single" w:sz="6" w:space="0" w:color="auto"/>
              <w:bottom w:val="single" w:sz="6" w:space="0" w:color="auto"/>
              <w:right w:val="single" w:sz="6" w:space="0" w:color="auto"/>
            </w:tcBorders>
            <w:hideMark/>
          </w:tcPr>
          <w:p w:rsidR="00B15F05" w:rsidRPr="00094E62" w:rsidRDefault="00444D93" w:rsidP="00A42E75">
            <w:pPr>
              <w:spacing w:line="324" w:lineRule="auto"/>
            </w:pPr>
            <w:r>
              <w:t>2,260.9</w:t>
            </w:r>
          </w:p>
        </w:tc>
        <w:tc>
          <w:tcPr>
            <w:tcW w:w="1985" w:type="dxa"/>
            <w:tcBorders>
              <w:top w:val="single" w:sz="6" w:space="0" w:color="auto"/>
              <w:left w:val="single" w:sz="6" w:space="0" w:color="auto"/>
              <w:bottom w:val="single" w:sz="6" w:space="0" w:color="auto"/>
              <w:right w:val="single" w:sz="6" w:space="0" w:color="auto"/>
            </w:tcBorders>
            <w:hideMark/>
          </w:tcPr>
          <w:p w:rsidR="00B15F05" w:rsidRPr="00094E62" w:rsidRDefault="00516459" w:rsidP="00516459">
            <w:pPr>
              <w:spacing w:line="324" w:lineRule="auto"/>
            </w:pPr>
            <w:r>
              <w:t>2,321.2</w:t>
            </w:r>
          </w:p>
        </w:tc>
        <w:tc>
          <w:tcPr>
            <w:tcW w:w="1758" w:type="dxa"/>
            <w:tcBorders>
              <w:top w:val="single" w:sz="6" w:space="0" w:color="auto"/>
              <w:left w:val="single" w:sz="6" w:space="0" w:color="auto"/>
              <w:bottom w:val="single" w:sz="6" w:space="0" w:color="auto"/>
              <w:right w:val="single" w:sz="12" w:space="0" w:color="auto"/>
            </w:tcBorders>
            <w:hideMark/>
          </w:tcPr>
          <w:p w:rsidR="00B15F05" w:rsidRPr="00094E62" w:rsidRDefault="00516459" w:rsidP="00B24E70">
            <w:pPr>
              <w:spacing w:line="324" w:lineRule="auto"/>
            </w:pPr>
            <w:r>
              <w:t>-  2.6 %</w:t>
            </w:r>
          </w:p>
        </w:tc>
      </w:tr>
      <w:tr w:rsidR="00B15F05" w:rsidRPr="00094E62" w:rsidTr="00F707CD">
        <w:tc>
          <w:tcPr>
            <w:tcW w:w="2160" w:type="dxa"/>
            <w:tcBorders>
              <w:top w:val="single" w:sz="6" w:space="0" w:color="auto"/>
              <w:left w:val="single" w:sz="12" w:space="0" w:color="auto"/>
              <w:bottom w:val="single" w:sz="6" w:space="0" w:color="auto"/>
              <w:right w:val="single" w:sz="6" w:space="0" w:color="auto"/>
            </w:tcBorders>
            <w:hideMark/>
          </w:tcPr>
          <w:p w:rsidR="00B15F05" w:rsidRPr="00094E62" w:rsidRDefault="00B15F05" w:rsidP="00290CB1">
            <w:pPr>
              <w:spacing w:line="324" w:lineRule="auto"/>
            </w:pPr>
            <w:r>
              <w:t>Sales revenue</w:t>
            </w:r>
          </w:p>
        </w:tc>
        <w:tc>
          <w:tcPr>
            <w:tcW w:w="1134" w:type="dxa"/>
            <w:tcBorders>
              <w:top w:val="single" w:sz="6" w:space="0" w:color="auto"/>
              <w:left w:val="single" w:sz="6" w:space="0" w:color="auto"/>
              <w:bottom w:val="single" w:sz="6" w:space="0" w:color="auto"/>
              <w:right w:val="single" w:sz="6" w:space="0" w:color="auto"/>
            </w:tcBorders>
            <w:hideMark/>
          </w:tcPr>
          <w:p w:rsidR="00B15F05" w:rsidRPr="00094E62" w:rsidRDefault="00B15F05" w:rsidP="00B24E70">
            <w:pPr>
              <w:spacing w:line="324" w:lineRule="auto"/>
            </w:pPr>
            <w:r>
              <w:t>€ million</w:t>
            </w:r>
          </w:p>
        </w:tc>
        <w:tc>
          <w:tcPr>
            <w:tcW w:w="1985" w:type="dxa"/>
            <w:tcBorders>
              <w:top w:val="single" w:sz="6" w:space="0" w:color="auto"/>
              <w:left w:val="single" w:sz="6" w:space="0" w:color="auto"/>
              <w:bottom w:val="single" w:sz="6" w:space="0" w:color="auto"/>
              <w:right w:val="single" w:sz="6" w:space="0" w:color="auto"/>
            </w:tcBorders>
            <w:hideMark/>
          </w:tcPr>
          <w:p w:rsidR="00B15F05" w:rsidRPr="00094E62" w:rsidRDefault="00763E71" w:rsidP="00094E62">
            <w:pPr>
              <w:spacing w:line="324" w:lineRule="auto"/>
            </w:pPr>
            <w:r>
              <w:t>2,336.3</w:t>
            </w:r>
          </w:p>
        </w:tc>
        <w:tc>
          <w:tcPr>
            <w:tcW w:w="1985" w:type="dxa"/>
            <w:tcBorders>
              <w:top w:val="single" w:sz="6" w:space="0" w:color="auto"/>
              <w:left w:val="single" w:sz="6" w:space="0" w:color="auto"/>
              <w:bottom w:val="single" w:sz="6" w:space="0" w:color="auto"/>
              <w:right w:val="single" w:sz="6" w:space="0" w:color="auto"/>
            </w:tcBorders>
            <w:hideMark/>
          </w:tcPr>
          <w:p w:rsidR="00B15F05" w:rsidRPr="00094E62" w:rsidRDefault="00763E71" w:rsidP="00290CB1">
            <w:pPr>
              <w:spacing w:line="324" w:lineRule="auto"/>
            </w:pPr>
            <w:r>
              <w:t>2,181.7</w:t>
            </w:r>
          </w:p>
        </w:tc>
        <w:tc>
          <w:tcPr>
            <w:tcW w:w="1758" w:type="dxa"/>
            <w:tcBorders>
              <w:top w:val="single" w:sz="6" w:space="0" w:color="auto"/>
              <w:left w:val="single" w:sz="6" w:space="0" w:color="auto"/>
              <w:bottom w:val="single" w:sz="6" w:space="0" w:color="auto"/>
              <w:right w:val="single" w:sz="12" w:space="0" w:color="auto"/>
            </w:tcBorders>
            <w:hideMark/>
          </w:tcPr>
          <w:p w:rsidR="00B15F05" w:rsidRPr="00094E62" w:rsidRDefault="00516459" w:rsidP="007A0A48">
            <w:pPr>
              <w:spacing w:line="324" w:lineRule="auto"/>
            </w:pPr>
            <w:r>
              <w:t>+ 7.1 %</w:t>
            </w:r>
          </w:p>
        </w:tc>
      </w:tr>
      <w:tr w:rsidR="00B15F05" w:rsidRPr="00094E62" w:rsidTr="00F707CD">
        <w:trPr>
          <w:trHeight w:val="227"/>
        </w:trPr>
        <w:tc>
          <w:tcPr>
            <w:tcW w:w="2160" w:type="dxa"/>
            <w:tcBorders>
              <w:top w:val="single" w:sz="6" w:space="0" w:color="auto"/>
              <w:left w:val="single" w:sz="12" w:space="0" w:color="auto"/>
              <w:bottom w:val="single" w:sz="12" w:space="0" w:color="auto"/>
              <w:right w:val="single" w:sz="6" w:space="0" w:color="auto"/>
            </w:tcBorders>
            <w:hideMark/>
          </w:tcPr>
          <w:p w:rsidR="00B15F05" w:rsidRPr="00094E62" w:rsidRDefault="00B15F05" w:rsidP="00B24E70">
            <w:pPr>
              <w:spacing w:line="324" w:lineRule="auto"/>
            </w:pPr>
            <w:r>
              <w:t xml:space="preserve">Employees </w:t>
            </w:r>
            <w:r>
              <w:rPr>
                <w:sz w:val="16"/>
              </w:rPr>
              <w:t>(31 Dec.)</w:t>
            </w:r>
          </w:p>
        </w:tc>
        <w:tc>
          <w:tcPr>
            <w:tcW w:w="1134" w:type="dxa"/>
            <w:tcBorders>
              <w:top w:val="single" w:sz="6" w:space="0" w:color="auto"/>
              <w:left w:val="single" w:sz="6" w:space="0" w:color="auto"/>
              <w:bottom w:val="single" w:sz="12" w:space="0" w:color="auto"/>
              <w:right w:val="single" w:sz="6" w:space="0" w:color="auto"/>
            </w:tcBorders>
          </w:tcPr>
          <w:p w:rsidR="00B15F05" w:rsidRPr="00094E62" w:rsidRDefault="00B15F05" w:rsidP="00B24E70">
            <w:pPr>
              <w:spacing w:line="324" w:lineRule="auto"/>
            </w:pPr>
          </w:p>
        </w:tc>
        <w:tc>
          <w:tcPr>
            <w:tcW w:w="1985" w:type="dxa"/>
            <w:tcBorders>
              <w:top w:val="single" w:sz="6" w:space="0" w:color="auto"/>
              <w:left w:val="single" w:sz="6" w:space="0" w:color="auto"/>
              <w:bottom w:val="single" w:sz="12" w:space="0" w:color="auto"/>
              <w:right w:val="single" w:sz="6" w:space="0" w:color="auto"/>
            </w:tcBorders>
            <w:hideMark/>
          </w:tcPr>
          <w:p w:rsidR="00B15F05" w:rsidRPr="00094E62" w:rsidRDefault="00561327" w:rsidP="00A42E75">
            <w:pPr>
              <w:spacing w:line="324" w:lineRule="auto"/>
            </w:pPr>
            <w:r>
              <w:t>16,172</w:t>
            </w:r>
          </w:p>
        </w:tc>
        <w:tc>
          <w:tcPr>
            <w:tcW w:w="1985" w:type="dxa"/>
            <w:tcBorders>
              <w:top w:val="single" w:sz="6" w:space="0" w:color="auto"/>
              <w:left w:val="single" w:sz="6" w:space="0" w:color="auto"/>
              <w:bottom w:val="single" w:sz="12" w:space="0" w:color="auto"/>
              <w:right w:val="single" w:sz="6" w:space="0" w:color="auto"/>
            </w:tcBorders>
            <w:hideMark/>
          </w:tcPr>
          <w:p w:rsidR="00B15F05" w:rsidRPr="00094E62" w:rsidRDefault="00114B40" w:rsidP="00A86255">
            <w:pPr>
              <w:spacing w:line="324" w:lineRule="auto"/>
            </w:pPr>
            <w:r>
              <w:t>16,309</w:t>
            </w:r>
          </w:p>
        </w:tc>
        <w:tc>
          <w:tcPr>
            <w:tcW w:w="1758" w:type="dxa"/>
            <w:tcBorders>
              <w:top w:val="single" w:sz="6" w:space="0" w:color="auto"/>
              <w:left w:val="single" w:sz="6" w:space="0" w:color="auto"/>
              <w:bottom w:val="single" w:sz="12" w:space="0" w:color="auto"/>
              <w:right w:val="single" w:sz="12" w:space="0" w:color="auto"/>
            </w:tcBorders>
            <w:hideMark/>
          </w:tcPr>
          <w:p w:rsidR="00B15F05" w:rsidRPr="00094E62" w:rsidRDefault="00BE7118" w:rsidP="00D0137D">
            <w:pPr>
              <w:spacing w:line="324" w:lineRule="auto"/>
            </w:pPr>
            <w:r>
              <w:t xml:space="preserve"> - 0.8 %</w:t>
            </w:r>
          </w:p>
        </w:tc>
      </w:tr>
      <w:bookmarkEnd w:id="1"/>
    </w:tbl>
    <w:p w:rsidR="00B24E70" w:rsidRPr="00094E62" w:rsidRDefault="00B24E70" w:rsidP="00B24E70">
      <w:pPr>
        <w:spacing w:line="324" w:lineRule="auto"/>
        <w:rPr>
          <w:sz w:val="8"/>
          <w:szCs w:val="8"/>
        </w:rPr>
      </w:pPr>
    </w:p>
    <w:p w:rsidR="0035508E" w:rsidRPr="00094E62" w:rsidRDefault="0035508E" w:rsidP="002A3132">
      <w:pPr>
        <w:spacing w:line="324" w:lineRule="auto"/>
        <w:rPr>
          <w:b/>
          <w:bCs/>
        </w:rPr>
      </w:pPr>
    </w:p>
    <w:p w:rsidR="000E01A1" w:rsidRPr="00094E62" w:rsidRDefault="00FA41C3" w:rsidP="002A3132">
      <w:pPr>
        <w:spacing w:line="324" w:lineRule="auto"/>
        <w:rPr>
          <w:b/>
          <w:bCs/>
        </w:rPr>
      </w:pPr>
      <w:r>
        <w:rPr>
          <w:b/>
        </w:rPr>
        <w:t xml:space="preserve">Order intake slightly down on previous year </w:t>
      </w:r>
    </w:p>
    <w:p w:rsidR="002A3132" w:rsidRPr="00094E62" w:rsidRDefault="002A3132" w:rsidP="002A3132">
      <w:pPr>
        <w:spacing w:line="324" w:lineRule="auto"/>
        <w:jc w:val="both"/>
        <w:rPr>
          <w:szCs w:val="24"/>
        </w:rPr>
      </w:pPr>
    </w:p>
    <w:p w:rsidR="002A3132" w:rsidRDefault="002A3132" w:rsidP="00A42E75">
      <w:pPr>
        <w:spacing w:line="324" w:lineRule="auto"/>
        <w:jc w:val="both"/>
        <w:rPr>
          <w:szCs w:val="24"/>
        </w:rPr>
      </w:pPr>
      <w:r>
        <w:t xml:space="preserve">KSB posted orders with a total value of € 2,260.9 million during the reporting year, down 2.6 percent compared with the previous year. Economic weaknesses in the energy sector, in petrochemicals and in the mining industry were key factors in this negative development. In power plant business in particular, several large-scale projects were postponed. This meant a reduction in purchase orders for pumps and valves, which was only partially offset by strong growth in the Service business. </w:t>
      </w:r>
    </w:p>
    <w:p w:rsidR="002A3132" w:rsidRPr="0038791D" w:rsidRDefault="002A3132" w:rsidP="00F0116C">
      <w:pPr>
        <w:spacing w:line="324" w:lineRule="auto"/>
        <w:jc w:val="both"/>
        <w:rPr>
          <w:szCs w:val="24"/>
        </w:rPr>
      </w:pPr>
      <w:r>
        <w:lastRenderedPageBreak/>
        <w:t>Clear regional differences in order intake emerged in 2015. Companies in Asia and the Middle East/Africa recorded strong order growth. Incoming orders in Europe were down on the previous year, mainly due to lower levels of demand from energy suppliers. The effects of this development were also felt by KSB AG, the largest Group company. Its order intake fell by 7.7 % to € 783.4 million. Orders received also decreased at the American KSB companies, where the mining sector’s reluctance to invest had a key impact.</w:t>
      </w:r>
    </w:p>
    <w:p w:rsidR="0038791D" w:rsidRDefault="0038791D" w:rsidP="0038791D">
      <w:pPr>
        <w:spacing w:line="324" w:lineRule="auto"/>
        <w:jc w:val="both"/>
        <w:rPr>
          <w:sz w:val="28"/>
          <w:szCs w:val="28"/>
        </w:rPr>
      </w:pPr>
    </w:p>
    <w:p w:rsidR="00624ED3" w:rsidRDefault="00624ED3" w:rsidP="0038791D">
      <w:pPr>
        <w:spacing w:line="324" w:lineRule="auto"/>
        <w:jc w:val="both"/>
        <w:rPr>
          <w:b/>
          <w:bCs/>
          <w:szCs w:val="24"/>
        </w:rPr>
      </w:pPr>
      <w:r>
        <w:rPr>
          <w:b/>
        </w:rPr>
        <w:t>Sales revenue growth across all Regions</w:t>
      </w:r>
    </w:p>
    <w:p w:rsidR="0038791D" w:rsidRPr="00801329" w:rsidRDefault="0038791D" w:rsidP="0038791D">
      <w:pPr>
        <w:spacing w:line="324" w:lineRule="auto"/>
        <w:jc w:val="both"/>
        <w:rPr>
          <w:szCs w:val="24"/>
        </w:rPr>
      </w:pPr>
    </w:p>
    <w:p w:rsidR="00801329" w:rsidRPr="00801329" w:rsidRDefault="00801329" w:rsidP="00D0137D">
      <w:pPr>
        <w:spacing w:line="324" w:lineRule="auto"/>
        <w:jc w:val="both"/>
        <w:rPr>
          <w:szCs w:val="24"/>
        </w:rPr>
      </w:pPr>
      <w:r>
        <w:t xml:space="preserve">Consolidated sales revenue grew by € 154.6 million to € 2,336.3 million. This 7.1 % increase is attributable to major orders placed in previous years. These generated higher sales revenue for pumps and valves, while the orders received in the Service segment in the reporting year also contributed to growth. </w:t>
      </w:r>
    </w:p>
    <w:p w:rsidR="00624ED3" w:rsidRDefault="00624ED3" w:rsidP="00BE7118">
      <w:pPr>
        <w:spacing w:line="324" w:lineRule="auto"/>
        <w:jc w:val="both"/>
        <w:rPr>
          <w:szCs w:val="24"/>
        </w:rPr>
      </w:pPr>
    </w:p>
    <w:p w:rsidR="00801329" w:rsidRPr="001D0359" w:rsidRDefault="00801329" w:rsidP="00F0116C">
      <w:pPr>
        <w:spacing w:line="324" w:lineRule="auto"/>
        <w:jc w:val="both"/>
        <w:rPr>
          <w:szCs w:val="24"/>
        </w:rPr>
      </w:pPr>
      <w:r>
        <w:t xml:space="preserve">Sales revenue growth was strongest in Asia and the Middle East/Africa, but the companies in the Americas and Europe were also able to improve. Performance in Europe was affected by the 0.8 % fall in sales revenue recorded by KSB AG, which achieved € 808.1 million. </w:t>
      </w:r>
    </w:p>
    <w:p w:rsidR="00777398" w:rsidRPr="001D0359" w:rsidRDefault="00777398" w:rsidP="00BE7118">
      <w:pPr>
        <w:spacing w:line="324" w:lineRule="auto"/>
        <w:jc w:val="both"/>
        <w:rPr>
          <w:szCs w:val="24"/>
        </w:rPr>
      </w:pPr>
    </w:p>
    <w:p w:rsidR="00777398" w:rsidRDefault="00777398" w:rsidP="00777398">
      <w:pPr>
        <w:spacing w:line="324" w:lineRule="auto"/>
        <w:jc w:val="both"/>
        <w:rPr>
          <w:szCs w:val="24"/>
        </w:rPr>
      </w:pPr>
      <w:r>
        <w:t>Currency translation effects when converting the order intake and sales revenue figures of various non-European countries into the euro, the Group currency, had a positive impact.</w:t>
      </w:r>
    </w:p>
    <w:p w:rsidR="00801329" w:rsidRPr="00801329" w:rsidRDefault="00801329" w:rsidP="00BE7118">
      <w:pPr>
        <w:spacing w:line="324" w:lineRule="auto"/>
        <w:jc w:val="both"/>
        <w:rPr>
          <w:szCs w:val="24"/>
        </w:rPr>
      </w:pPr>
    </w:p>
    <w:p w:rsidR="00B24E70" w:rsidRPr="00C21CA6" w:rsidRDefault="00F0116C" w:rsidP="00F0116C">
      <w:pPr>
        <w:spacing w:line="324" w:lineRule="auto"/>
        <w:rPr>
          <w:b/>
          <w:bCs/>
          <w:color w:val="000000" w:themeColor="text1"/>
        </w:rPr>
      </w:pPr>
      <w:r>
        <w:rPr>
          <w:b/>
          <w:color w:val="000000" w:themeColor="text1"/>
        </w:rPr>
        <w:t xml:space="preserve">Higher consolidated earnings </w:t>
      </w:r>
    </w:p>
    <w:p w:rsidR="00BF737D" w:rsidRDefault="00BF737D" w:rsidP="00702057">
      <w:pPr>
        <w:spacing w:line="324" w:lineRule="auto"/>
        <w:rPr>
          <w:b/>
          <w:bCs/>
          <w:color w:val="000000" w:themeColor="text1"/>
          <w:highlight w:val="yellow"/>
        </w:rPr>
      </w:pPr>
    </w:p>
    <w:p w:rsidR="00692BAC" w:rsidRDefault="00DC3285" w:rsidP="00777398">
      <w:pPr>
        <w:spacing w:line="324" w:lineRule="auto"/>
        <w:jc w:val="both"/>
        <w:rPr>
          <w:color w:val="000000" w:themeColor="text1"/>
        </w:rPr>
      </w:pPr>
      <w:r>
        <w:rPr>
          <w:color w:val="000000" w:themeColor="text1"/>
        </w:rPr>
        <w:t>Against the background of the improved sales revenue development and more favourable exchange rates we expect the consolidated earnings before taxes to significantly exceed those of the previous year (€ 72.6 million). 2015 earnings for KSB AG, however, will fall short of the prior-year figure, in particular on account of higher provisions for pensions.</w:t>
      </w:r>
    </w:p>
    <w:p w:rsidR="00A42E75" w:rsidRDefault="00A42E75" w:rsidP="00777398">
      <w:pPr>
        <w:spacing w:line="324" w:lineRule="auto"/>
        <w:jc w:val="both"/>
        <w:rPr>
          <w:color w:val="000000" w:themeColor="text1"/>
        </w:rPr>
      </w:pPr>
    </w:p>
    <w:p w:rsidR="006112E4" w:rsidRPr="00474FE3" w:rsidRDefault="006112E4" w:rsidP="006112E4">
      <w:pPr>
        <w:spacing w:line="324" w:lineRule="auto"/>
        <w:rPr>
          <w:color w:val="000000" w:themeColor="text1"/>
        </w:rPr>
      </w:pPr>
    </w:p>
    <w:p w:rsidR="00AB3A62" w:rsidRPr="00AB3A62" w:rsidRDefault="00590C91" w:rsidP="00590C91">
      <w:pPr>
        <w:pStyle w:val="berschrift1"/>
        <w:spacing w:line="324" w:lineRule="auto"/>
        <w:rPr>
          <w:sz w:val="24"/>
        </w:rPr>
      </w:pPr>
      <w:r>
        <w:rPr>
          <w:sz w:val="24"/>
        </w:rPr>
        <w:lastRenderedPageBreak/>
        <w:t>Employee numbers slightly down</w:t>
      </w:r>
    </w:p>
    <w:p w:rsidR="00AB3A62" w:rsidRPr="00F21783" w:rsidRDefault="00AB3A62" w:rsidP="00AB3A62">
      <w:pPr>
        <w:jc w:val="both"/>
        <w:rPr>
          <w:rFonts w:cs="Arial"/>
          <w:b/>
          <w:color w:val="000000" w:themeColor="text1"/>
          <w:szCs w:val="24"/>
        </w:rPr>
      </w:pPr>
    </w:p>
    <w:p w:rsidR="00590C91" w:rsidRPr="00094E62" w:rsidRDefault="00C84BB6" w:rsidP="007E59AF">
      <w:pPr>
        <w:spacing w:line="324" w:lineRule="auto"/>
        <w:jc w:val="both"/>
        <w:rPr>
          <w:rFonts w:cs="Arial"/>
        </w:rPr>
      </w:pPr>
      <w:r>
        <w:t xml:space="preserve">As per 31 December 2015 there were 16,172 people employed in the Group, 137 fewer than at the 2014 year end. The reduction is attributable to staffing adjustments at KSB AG (- 144) and the Brazilian company KSB Bombas Hidráulicas S.A. (- 83) in response to changed market conditions. In contrast, the French companies increased the size of their workforce, with the addition of 109 employees as at the reporting date, mainly due to the integration of a service unit. </w:t>
      </w:r>
    </w:p>
    <w:p w:rsidR="00590C91" w:rsidRPr="00590C91" w:rsidRDefault="00590C91" w:rsidP="00590C91">
      <w:pPr>
        <w:spacing w:line="324" w:lineRule="auto"/>
        <w:jc w:val="both"/>
      </w:pPr>
    </w:p>
    <w:p w:rsidR="00B24E70" w:rsidRDefault="00B24E70" w:rsidP="00D569D0">
      <w:pPr>
        <w:spacing w:line="324" w:lineRule="auto"/>
        <w:rPr>
          <w:b/>
          <w:bCs/>
        </w:rPr>
      </w:pPr>
      <w:r>
        <w:rPr>
          <w:b/>
        </w:rPr>
        <w:t>Outlook</w:t>
      </w:r>
    </w:p>
    <w:p w:rsidR="00A658BD" w:rsidRDefault="00A658BD" w:rsidP="00A658BD">
      <w:pPr>
        <w:spacing w:line="324" w:lineRule="auto"/>
        <w:rPr>
          <w:b/>
          <w:bCs/>
        </w:rPr>
      </w:pPr>
    </w:p>
    <w:p w:rsidR="00A02704" w:rsidRDefault="009755EB" w:rsidP="00D979E4">
      <w:pPr>
        <w:spacing w:line="324" w:lineRule="auto"/>
        <w:jc w:val="both"/>
        <w:rPr>
          <w:color w:val="000000" w:themeColor="text1"/>
        </w:rPr>
      </w:pPr>
      <w:r>
        <w:rPr>
          <w:color w:val="000000" w:themeColor="text1"/>
        </w:rPr>
        <w:t xml:space="preserve">For the 2016 financial year, the KSB Group expects order intake to grow, driven by sales of standard products and service orders. Large-scale orders from the Asian energy sector are also in the pipeline. In light of the weaker level of orders received in 2015, consolidated sales revenue is unlikely to match the previous year’s levels. </w:t>
      </w:r>
    </w:p>
    <w:p w:rsidR="00A02704" w:rsidRDefault="00A02704" w:rsidP="00D979E4">
      <w:pPr>
        <w:spacing w:line="324" w:lineRule="auto"/>
        <w:jc w:val="both"/>
        <w:rPr>
          <w:color w:val="000000" w:themeColor="text1"/>
        </w:rPr>
      </w:pPr>
    </w:p>
    <w:p w:rsidR="00A02704" w:rsidRDefault="00A02704" w:rsidP="00D979E4">
      <w:pPr>
        <w:spacing w:line="324" w:lineRule="auto"/>
        <w:jc w:val="both"/>
        <w:rPr>
          <w:color w:val="000000" w:themeColor="text1"/>
        </w:rPr>
      </w:pPr>
      <w:r>
        <w:rPr>
          <w:color w:val="000000" w:themeColor="text1"/>
        </w:rPr>
        <w:t xml:space="preserve">Consolidated earnings before taxes will continue to be affected by non-recurring costs, as KSB will intensify its cost-cutting programmes. These include, for example, plans to restructure global production, lower the number of companies and reduce the complexity of its product range. </w:t>
      </w:r>
    </w:p>
    <w:p w:rsidR="00A02704" w:rsidRDefault="00A02704" w:rsidP="00D979E4">
      <w:pPr>
        <w:spacing w:line="324" w:lineRule="auto"/>
        <w:jc w:val="both"/>
        <w:rPr>
          <w:color w:val="000000" w:themeColor="text1"/>
        </w:rPr>
      </w:pPr>
    </w:p>
    <w:p w:rsidR="007E59AF" w:rsidRDefault="007E59AF" w:rsidP="00D979E4">
      <w:pPr>
        <w:spacing w:line="324" w:lineRule="auto"/>
        <w:jc w:val="both"/>
        <w:rPr>
          <w:color w:val="000000" w:themeColor="text1"/>
        </w:rPr>
      </w:pPr>
      <w:r>
        <w:rPr>
          <w:color w:val="000000" w:themeColor="text1"/>
        </w:rPr>
        <w:t xml:space="preserve">From a strategic perspective, the Group is looking to key global and regional markets which will be the focus of its sales activities over the coming years. </w:t>
      </w:r>
    </w:p>
    <w:p w:rsidR="002E5AD2" w:rsidRDefault="002E5AD2" w:rsidP="00F14434">
      <w:pPr>
        <w:spacing w:line="324" w:lineRule="auto"/>
        <w:jc w:val="both"/>
        <w:rPr>
          <w:color w:val="000000" w:themeColor="text1"/>
        </w:rPr>
      </w:pPr>
    </w:p>
    <w:sectPr w:rsidR="002E5AD2" w:rsidSect="00B128D1">
      <w:headerReference w:type="default" r:id="rId8"/>
      <w:footerReference w:type="even" r:id="rId9"/>
      <w:footerReference w:type="default" r:id="rId10"/>
      <w:pgSz w:w="11906" w:h="16838"/>
      <w:pgMar w:top="1985" w:right="1418" w:bottom="1985" w:left="1418" w:header="85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82" w:rsidRDefault="007F0082">
      <w:r>
        <w:separator/>
      </w:r>
    </w:p>
  </w:endnote>
  <w:endnote w:type="continuationSeparator" w:id="0">
    <w:p w:rsidR="007F0082" w:rsidRDefault="007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 LT Pro 45 Light">
    <w:panose1 w:val="00000000000000000000"/>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85" w:rsidRDefault="003C0EC5" w:rsidP="00E22719">
    <w:pPr>
      <w:pStyle w:val="Fuzeile"/>
      <w:framePr w:wrap="around" w:vAnchor="text" w:hAnchor="margin" w:xAlign="right" w:y="1"/>
      <w:rPr>
        <w:rStyle w:val="Seitenzahl"/>
      </w:rPr>
    </w:pPr>
    <w:r>
      <w:rPr>
        <w:rStyle w:val="Seitenzahl"/>
      </w:rPr>
      <w:fldChar w:fldCharType="begin"/>
    </w:r>
    <w:r w:rsidR="00DC3285">
      <w:rPr>
        <w:rStyle w:val="Seitenzahl"/>
      </w:rPr>
      <w:instrText xml:space="preserve">PAGE  </w:instrText>
    </w:r>
    <w:r>
      <w:rPr>
        <w:rStyle w:val="Seitenzahl"/>
      </w:rPr>
      <w:fldChar w:fldCharType="separate"/>
    </w:r>
    <w:r w:rsidR="00DC3285">
      <w:rPr>
        <w:rStyle w:val="Seitenzahl"/>
        <w:noProof/>
      </w:rPr>
      <w:t>1</w:t>
    </w:r>
    <w:r>
      <w:rPr>
        <w:rStyle w:val="Seitenzahl"/>
      </w:rPr>
      <w:fldChar w:fldCharType="end"/>
    </w:r>
  </w:p>
  <w:p w:rsidR="00DC3285" w:rsidRDefault="00DC32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85" w:rsidRDefault="00DC328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82" w:rsidRDefault="007F0082">
      <w:r>
        <w:separator/>
      </w:r>
    </w:p>
  </w:footnote>
  <w:footnote w:type="continuationSeparator" w:id="0">
    <w:p w:rsidR="007F0082" w:rsidRDefault="007F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85" w:rsidRDefault="00DC3285" w:rsidP="00133F38">
    <w:pPr>
      <w:pStyle w:val="Kopfzeile"/>
      <w:jc w:val="right"/>
    </w:pPr>
    <w:r>
      <w:object w:dxaOrig="10606" w:dyaOrig="4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39.75pt" fillcolor="window">
          <v:imagedata r:id="rId1" o:title=""/>
        </v:shape>
        <o:OLEObject Type="Embed" ProgID="MSDraw" ShapeID="_x0000_i1025" DrawAspect="Content" ObjectID="_1676798970" r:id="rId2">
          <o:FieldCodes>\* MERGEFORMAT</o:FieldCodes>
        </o:OLEObject>
      </w:object>
    </w:r>
  </w:p>
  <w:p w:rsidR="00DC3285" w:rsidRDefault="00DC3285" w:rsidP="00B24E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997"/>
    <w:multiLevelType w:val="hybridMultilevel"/>
    <w:tmpl w:val="B6CE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87"/>
    <w:rsid w:val="00002ADE"/>
    <w:rsid w:val="00003F7E"/>
    <w:rsid w:val="00004B2F"/>
    <w:rsid w:val="000055C5"/>
    <w:rsid w:val="00005CD4"/>
    <w:rsid w:val="00005E49"/>
    <w:rsid w:val="000127FE"/>
    <w:rsid w:val="00013170"/>
    <w:rsid w:val="00013A7F"/>
    <w:rsid w:val="00013AEA"/>
    <w:rsid w:val="00017A89"/>
    <w:rsid w:val="000201A2"/>
    <w:rsid w:val="000253A9"/>
    <w:rsid w:val="00025F92"/>
    <w:rsid w:val="00027D60"/>
    <w:rsid w:val="000318C1"/>
    <w:rsid w:val="00032ABE"/>
    <w:rsid w:val="00045449"/>
    <w:rsid w:val="000519FF"/>
    <w:rsid w:val="0005251B"/>
    <w:rsid w:val="00053F9F"/>
    <w:rsid w:val="00054DBB"/>
    <w:rsid w:val="00055C44"/>
    <w:rsid w:val="000613FD"/>
    <w:rsid w:val="000640A8"/>
    <w:rsid w:val="0006711E"/>
    <w:rsid w:val="00072BEC"/>
    <w:rsid w:val="00072D1F"/>
    <w:rsid w:val="000761D8"/>
    <w:rsid w:val="00081DC1"/>
    <w:rsid w:val="00081E6E"/>
    <w:rsid w:val="00082E9E"/>
    <w:rsid w:val="00085528"/>
    <w:rsid w:val="0009429D"/>
    <w:rsid w:val="00094E62"/>
    <w:rsid w:val="000A59D3"/>
    <w:rsid w:val="000A633B"/>
    <w:rsid w:val="000B44C6"/>
    <w:rsid w:val="000B759D"/>
    <w:rsid w:val="000C6C41"/>
    <w:rsid w:val="000C7D49"/>
    <w:rsid w:val="000D07A7"/>
    <w:rsid w:val="000D3962"/>
    <w:rsid w:val="000E01A1"/>
    <w:rsid w:val="000E103B"/>
    <w:rsid w:val="000F0BEA"/>
    <w:rsid w:val="000F5C3A"/>
    <w:rsid w:val="000F6AA0"/>
    <w:rsid w:val="0010299B"/>
    <w:rsid w:val="00105F59"/>
    <w:rsid w:val="00107F82"/>
    <w:rsid w:val="00114B40"/>
    <w:rsid w:val="00114C19"/>
    <w:rsid w:val="00116B12"/>
    <w:rsid w:val="001175A8"/>
    <w:rsid w:val="00122459"/>
    <w:rsid w:val="00125476"/>
    <w:rsid w:val="001309B5"/>
    <w:rsid w:val="00131C58"/>
    <w:rsid w:val="001329C9"/>
    <w:rsid w:val="00133F38"/>
    <w:rsid w:val="00134B31"/>
    <w:rsid w:val="00150B51"/>
    <w:rsid w:val="001518AB"/>
    <w:rsid w:val="00152510"/>
    <w:rsid w:val="00152A95"/>
    <w:rsid w:val="00161709"/>
    <w:rsid w:val="0016664A"/>
    <w:rsid w:val="00166E68"/>
    <w:rsid w:val="00170C85"/>
    <w:rsid w:val="00171819"/>
    <w:rsid w:val="001722FC"/>
    <w:rsid w:val="00172C0C"/>
    <w:rsid w:val="00173620"/>
    <w:rsid w:val="00174D7C"/>
    <w:rsid w:val="00180F6C"/>
    <w:rsid w:val="001824B9"/>
    <w:rsid w:val="00182812"/>
    <w:rsid w:val="001946E7"/>
    <w:rsid w:val="0019719F"/>
    <w:rsid w:val="001A1C16"/>
    <w:rsid w:val="001A483F"/>
    <w:rsid w:val="001A5C85"/>
    <w:rsid w:val="001A6664"/>
    <w:rsid w:val="001A6FB9"/>
    <w:rsid w:val="001C03DC"/>
    <w:rsid w:val="001C2033"/>
    <w:rsid w:val="001C2FDA"/>
    <w:rsid w:val="001C7E4C"/>
    <w:rsid w:val="001D0359"/>
    <w:rsid w:val="001E4DFD"/>
    <w:rsid w:val="001E5CA1"/>
    <w:rsid w:val="001E6945"/>
    <w:rsid w:val="001E6B14"/>
    <w:rsid w:val="001F0AE3"/>
    <w:rsid w:val="001F3B2D"/>
    <w:rsid w:val="00200779"/>
    <w:rsid w:val="002122C5"/>
    <w:rsid w:val="002132D8"/>
    <w:rsid w:val="00214B81"/>
    <w:rsid w:val="002328DB"/>
    <w:rsid w:val="002377C1"/>
    <w:rsid w:val="00244F52"/>
    <w:rsid w:val="00262265"/>
    <w:rsid w:val="0026351F"/>
    <w:rsid w:val="0027125E"/>
    <w:rsid w:val="00274B71"/>
    <w:rsid w:val="00276A53"/>
    <w:rsid w:val="0027700F"/>
    <w:rsid w:val="00283CAF"/>
    <w:rsid w:val="00290CB1"/>
    <w:rsid w:val="002917AB"/>
    <w:rsid w:val="00291FF1"/>
    <w:rsid w:val="00294E9F"/>
    <w:rsid w:val="002A3132"/>
    <w:rsid w:val="002A3F1B"/>
    <w:rsid w:val="002A5500"/>
    <w:rsid w:val="002A6D1A"/>
    <w:rsid w:val="002B041D"/>
    <w:rsid w:val="002D5001"/>
    <w:rsid w:val="002E014F"/>
    <w:rsid w:val="002E087D"/>
    <w:rsid w:val="002E2183"/>
    <w:rsid w:val="002E28BF"/>
    <w:rsid w:val="002E54BD"/>
    <w:rsid w:val="002E5AD2"/>
    <w:rsid w:val="002F5448"/>
    <w:rsid w:val="00303D9B"/>
    <w:rsid w:val="003065AC"/>
    <w:rsid w:val="00307FE5"/>
    <w:rsid w:val="0031073D"/>
    <w:rsid w:val="0031085A"/>
    <w:rsid w:val="00312FC7"/>
    <w:rsid w:val="003226BF"/>
    <w:rsid w:val="0032428A"/>
    <w:rsid w:val="0033204D"/>
    <w:rsid w:val="003330B5"/>
    <w:rsid w:val="003348DB"/>
    <w:rsid w:val="00334F8B"/>
    <w:rsid w:val="00337850"/>
    <w:rsid w:val="00337ECB"/>
    <w:rsid w:val="00342CA6"/>
    <w:rsid w:val="003463B7"/>
    <w:rsid w:val="0034652A"/>
    <w:rsid w:val="003470FB"/>
    <w:rsid w:val="00351E2A"/>
    <w:rsid w:val="0035508E"/>
    <w:rsid w:val="00362492"/>
    <w:rsid w:val="00362926"/>
    <w:rsid w:val="003676A8"/>
    <w:rsid w:val="003705C9"/>
    <w:rsid w:val="00372385"/>
    <w:rsid w:val="003730A5"/>
    <w:rsid w:val="003749A2"/>
    <w:rsid w:val="00375F25"/>
    <w:rsid w:val="00376AE4"/>
    <w:rsid w:val="00377CC1"/>
    <w:rsid w:val="00382C7A"/>
    <w:rsid w:val="003833CA"/>
    <w:rsid w:val="0038791D"/>
    <w:rsid w:val="00390464"/>
    <w:rsid w:val="00390DF8"/>
    <w:rsid w:val="0039620E"/>
    <w:rsid w:val="003A1A28"/>
    <w:rsid w:val="003A4F09"/>
    <w:rsid w:val="003B2646"/>
    <w:rsid w:val="003B6D7C"/>
    <w:rsid w:val="003C0EC5"/>
    <w:rsid w:val="003C17E3"/>
    <w:rsid w:val="003C1CD9"/>
    <w:rsid w:val="003C6614"/>
    <w:rsid w:val="003D23BD"/>
    <w:rsid w:val="003D7B99"/>
    <w:rsid w:val="003E05AD"/>
    <w:rsid w:val="003E0E2F"/>
    <w:rsid w:val="003E2A9F"/>
    <w:rsid w:val="003E5404"/>
    <w:rsid w:val="003E74CA"/>
    <w:rsid w:val="00406529"/>
    <w:rsid w:val="00406A42"/>
    <w:rsid w:val="004107E4"/>
    <w:rsid w:val="00415BD9"/>
    <w:rsid w:val="0043106D"/>
    <w:rsid w:val="004344C5"/>
    <w:rsid w:val="00436D96"/>
    <w:rsid w:val="004376D5"/>
    <w:rsid w:val="00444D93"/>
    <w:rsid w:val="004537DB"/>
    <w:rsid w:val="00454ABE"/>
    <w:rsid w:val="00454FC7"/>
    <w:rsid w:val="00455043"/>
    <w:rsid w:val="0046031B"/>
    <w:rsid w:val="0046245F"/>
    <w:rsid w:val="00463C06"/>
    <w:rsid w:val="00464FEA"/>
    <w:rsid w:val="00474420"/>
    <w:rsid w:val="00474C14"/>
    <w:rsid w:val="00474FE3"/>
    <w:rsid w:val="00480D86"/>
    <w:rsid w:val="0048316A"/>
    <w:rsid w:val="0048334F"/>
    <w:rsid w:val="00486AD8"/>
    <w:rsid w:val="004A3051"/>
    <w:rsid w:val="004B63D7"/>
    <w:rsid w:val="004C21D5"/>
    <w:rsid w:val="004C666E"/>
    <w:rsid w:val="004C6959"/>
    <w:rsid w:val="004D147D"/>
    <w:rsid w:val="004D23FC"/>
    <w:rsid w:val="004E1032"/>
    <w:rsid w:val="004E29D2"/>
    <w:rsid w:val="004E3939"/>
    <w:rsid w:val="004E4C90"/>
    <w:rsid w:val="004E5DA2"/>
    <w:rsid w:val="004E7459"/>
    <w:rsid w:val="004F25A8"/>
    <w:rsid w:val="004F2C2B"/>
    <w:rsid w:val="004F59B1"/>
    <w:rsid w:val="004F6988"/>
    <w:rsid w:val="005024E8"/>
    <w:rsid w:val="0050340A"/>
    <w:rsid w:val="0050386F"/>
    <w:rsid w:val="00510A8A"/>
    <w:rsid w:val="0051278F"/>
    <w:rsid w:val="00514549"/>
    <w:rsid w:val="00515CF1"/>
    <w:rsid w:val="00516000"/>
    <w:rsid w:val="00516242"/>
    <w:rsid w:val="00516459"/>
    <w:rsid w:val="005205A7"/>
    <w:rsid w:val="00520BF3"/>
    <w:rsid w:val="00521787"/>
    <w:rsid w:val="005219DE"/>
    <w:rsid w:val="00523A7C"/>
    <w:rsid w:val="00541486"/>
    <w:rsid w:val="005461D4"/>
    <w:rsid w:val="00553124"/>
    <w:rsid w:val="005546D7"/>
    <w:rsid w:val="00561327"/>
    <w:rsid w:val="00566399"/>
    <w:rsid w:val="00573C08"/>
    <w:rsid w:val="005744D9"/>
    <w:rsid w:val="005751ED"/>
    <w:rsid w:val="00575410"/>
    <w:rsid w:val="00584520"/>
    <w:rsid w:val="00584597"/>
    <w:rsid w:val="00586EE3"/>
    <w:rsid w:val="00590C91"/>
    <w:rsid w:val="005913F5"/>
    <w:rsid w:val="00594138"/>
    <w:rsid w:val="005A2D9B"/>
    <w:rsid w:val="005A5636"/>
    <w:rsid w:val="005A6FC4"/>
    <w:rsid w:val="005B0CBA"/>
    <w:rsid w:val="005C01D5"/>
    <w:rsid w:val="005D1677"/>
    <w:rsid w:val="005D3145"/>
    <w:rsid w:val="005D43D5"/>
    <w:rsid w:val="005D4512"/>
    <w:rsid w:val="005D7349"/>
    <w:rsid w:val="005E7229"/>
    <w:rsid w:val="005F17D3"/>
    <w:rsid w:val="005F2DF6"/>
    <w:rsid w:val="005F2E72"/>
    <w:rsid w:val="00602768"/>
    <w:rsid w:val="00606DC5"/>
    <w:rsid w:val="00610641"/>
    <w:rsid w:val="006112E4"/>
    <w:rsid w:val="0061378A"/>
    <w:rsid w:val="00617DD8"/>
    <w:rsid w:val="006220D5"/>
    <w:rsid w:val="00622F90"/>
    <w:rsid w:val="006238CD"/>
    <w:rsid w:val="00624ED3"/>
    <w:rsid w:val="006254CA"/>
    <w:rsid w:val="006254CE"/>
    <w:rsid w:val="006258BE"/>
    <w:rsid w:val="0062674A"/>
    <w:rsid w:val="0063326E"/>
    <w:rsid w:val="00633B4B"/>
    <w:rsid w:val="006355CF"/>
    <w:rsid w:val="00635E1C"/>
    <w:rsid w:val="006503A7"/>
    <w:rsid w:val="00653572"/>
    <w:rsid w:val="00653A5E"/>
    <w:rsid w:val="00656900"/>
    <w:rsid w:val="006578A3"/>
    <w:rsid w:val="006627A9"/>
    <w:rsid w:val="00665A5D"/>
    <w:rsid w:val="006722AE"/>
    <w:rsid w:val="006774D4"/>
    <w:rsid w:val="00680AA4"/>
    <w:rsid w:val="00681B2D"/>
    <w:rsid w:val="00682000"/>
    <w:rsid w:val="00682D3C"/>
    <w:rsid w:val="00692BAC"/>
    <w:rsid w:val="006931A0"/>
    <w:rsid w:val="00693E12"/>
    <w:rsid w:val="006A4290"/>
    <w:rsid w:val="006A782D"/>
    <w:rsid w:val="006A7DDF"/>
    <w:rsid w:val="006B0BEF"/>
    <w:rsid w:val="006B6C08"/>
    <w:rsid w:val="006C0D17"/>
    <w:rsid w:val="006C4A06"/>
    <w:rsid w:val="006C4D66"/>
    <w:rsid w:val="006C59B2"/>
    <w:rsid w:val="006D5467"/>
    <w:rsid w:val="006E23CC"/>
    <w:rsid w:val="006E50E6"/>
    <w:rsid w:val="006F334A"/>
    <w:rsid w:val="006F3437"/>
    <w:rsid w:val="007012B1"/>
    <w:rsid w:val="00701417"/>
    <w:rsid w:val="00702057"/>
    <w:rsid w:val="0070299D"/>
    <w:rsid w:val="007106ED"/>
    <w:rsid w:val="007137AF"/>
    <w:rsid w:val="007146AA"/>
    <w:rsid w:val="00724ADB"/>
    <w:rsid w:val="00730DF8"/>
    <w:rsid w:val="007345B5"/>
    <w:rsid w:val="007352A2"/>
    <w:rsid w:val="007359F0"/>
    <w:rsid w:val="0074074A"/>
    <w:rsid w:val="00742551"/>
    <w:rsid w:val="007434C4"/>
    <w:rsid w:val="00745F81"/>
    <w:rsid w:val="00747989"/>
    <w:rsid w:val="00751C2E"/>
    <w:rsid w:val="00754587"/>
    <w:rsid w:val="00760C5E"/>
    <w:rsid w:val="007616BD"/>
    <w:rsid w:val="007625AC"/>
    <w:rsid w:val="00763E71"/>
    <w:rsid w:val="00770F7B"/>
    <w:rsid w:val="00771093"/>
    <w:rsid w:val="00772013"/>
    <w:rsid w:val="00772B96"/>
    <w:rsid w:val="00776C61"/>
    <w:rsid w:val="00777398"/>
    <w:rsid w:val="00777F3E"/>
    <w:rsid w:val="00782A69"/>
    <w:rsid w:val="00791F8D"/>
    <w:rsid w:val="007926A4"/>
    <w:rsid w:val="007933FB"/>
    <w:rsid w:val="00794FAD"/>
    <w:rsid w:val="00797164"/>
    <w:rsid w:val="00797EC4"/>
    <w:rsid w:val="007A0049"/>
    <w:rsid w:val="007A0A48"/>
    <w:rsid w:val="007A1667"/>
    <w:rsid w:val="007A169D"/>
    <w:rsid w:val="007A1B7B"/>
    <w:rsid w:val="007A227D"/>
    <w:rsid w:val="007B50EB"/>
    <w:rsid w:val="007C00EA"/>
    <w:rsid w:val="007D0FCD"/>
    <w:rsid w:val="007D1868"/>
    <w:rsid w:val="007E59AF"/>
    <w:rsid w:val="007F0082"/>
    <w:rsid w:val="007F0837"/>
    <w:rsid w:val="007F112E"/>
    <w:rsid w:val="007F547E"/>
    <w:rsid w:val="00801329"/>
    <w:rsid w:val="008053E3"/>
    <w:rsid w:val="00812FD2"/>
    <w:rsid w:val="00816DF9"/>
    <w:rsid w:val="008206D5"/>
    <w:rsid w:val="0083314F"/>
    <w:rsid w:val="00834EB3"/>
    <w:rsid w:val="008355EC"/>
    <w:rsid w:val="008424FB"/>
    <w:rsid w:val="00842F29"/>
    <w:rsid w:val="00845954"/>
    <w:rsid w:val="00846F3C"/>
    <w:rsid w:val="00850035"/>
    <w:rsid w:val="00850F3A"/>
    <w:rsid w:val="00852802"/>
    <w:rsid w:val="00854ADF"/>
    <w:rsid w:val="00856877"/>
    <w:rsid w:val="00862A63"/>
    <w:rsid w:val="00864879"/>
    <w:rsid w:val="00870814"/>
    <w:rsid w:val="00871C6A"/>
    <w:rsid w:val="00871E16"/>
    <w:rsid w:val="008731F2"/>
    <w:rsid w:val="00875896"/>
    <w:rsid w:val="00882DDB"/>
    <w:rsid w:val="00883DA7"/>
    <w:rsid w:val="008847BA"/>
    <w:rsid w:val="0089701F"/>
    <w:rsid w:val="008A1049"/>
    <w:rsid w:val="008A2A52"/>
    <w:rsid w:val="008A2BCF"/>
    <w:rsid w:val="008A41FA"/>
    <w:rsid w:val="008A4AB8"/>
    <w:rsid w:val="008A50B6"/>
    <w:rsid w:val="008A5725"/>
    <w:rsid w:val="008C1E92"/>
    <w:rsid w:val="008C5A10"/>
    <w:rsid w:val="008C7112"/>
    <w:rsid w:val="008D2C7C"/>
    <w:rsid w:val="008E0113"/>
    <w:rsid w:val="008E36EC"/>
    <w:rsid w:val="008E7E42"/>
    <w:rsid w:val="008F0B5D"/>
    <w:rsid w:val="009029E3"/>
    <w:rsid w:val="00903953"/>
    <w:rsid w:val="00905935"/>
    <w:rsid w:val="00906136"/>
    <w:rsid w:val="00906DB4"/>
    <w:rsid w:val="00911EB2"/>
    <w:rsid w:val="00912EB6"/>
    <w:rsid w:val="009147E5"/>
    <w:rsid w:val="00915FB9"/>
    <w:rsid w:val="009203D7"/>
    <w:rsid w:val="00921EB9"/>
    <w:rsid w:val="00923389"/>
    <w:rsid w:val="00923EE4"/>
    <w:rsid w:val="00923F9A"/>
    <w:rsid w:val="00927010"/>
    <w:rsid w:val="00927278"/>
    <w:rsid w:val="00935FD9"/>
    <w:rsid w:val="00945574"/>
    <w:rsid w:val="00946B02"/>
    <w:rsid w:val="00960004"/>
    <w:rsid w:val="0096237E"/>
    <w:rsid w:val="00967F27"/>
    <w:rsid w:val="00972996"/>
    <w:rsid w:val="009755EB"/>
    <w:rsid w:val="009845F7"/>
    <w:rsid w:val="00986651"/>
    <w:rsid w:val="00986BCE"/>
    <w:rsid w:val="009A1A57"/>
    <w:rsid w:val="009A73F7"/>
    <w:rsid w:val="009B1D58"/>
    <w:rsid w:val="009B51E7"/>
    <w:rsid w:val="009C125E"/>
    <w:rsid w:val="009C7DFC"/>
    <w:rsid w:val="009D1F7B"/>
    <w:rsid w:val="009D4819"/>
    <w:rsid w:val="009D4C5A"/>
    <w:rsid w:val="009D5A39"/>
    <w:rsid w:val="009E57CD"/>
    <w:rsid w:val="009E5988"/>
    <w:rsid w:val="009E76D5"/>
    <w:rsid w:val="009F0608"/>
    <w:rsid w:val="00A00803"/>
    <w:rsid w:val="00A009EA"/>
    <w:rsid w:val="00A02704"/>
    <w:rsid w:val="00A05986"/>
    <w:rsid w:val="00A05E34"/>
    <w:rsid w:val="00A12894"/>
    <w:rsid w:val="00A14ECA"/>
    <w:rsid w:val="00A22BF1"/>
    <w:rsid w:val="00A2393D"/>
    <w:rsid w:val="00A25CBF"/>
    <w:rsid w:val="00A304BA"/>
    <w:rsid w:val="00A3185E"/>
    <w:rsid w:val="00A32402"/>
    <w:rsid w:val="00A33EEA"/>
    <w:rsid w:val="00A3413A"/>
    <w:rsid w:val="00A347A9"/>
    <w:rsid w:val="00A352BD"/>
    <w:rsid w:val="00A419BB"/>
    <w:rsid w:val="00A42E75"/>
    <w:rsid w:val="00A43E9D"/>
    <w:rsid w:val="00A4673B"/>
    <w:rsid w:val="00A50329"/>
    <w:rsid w:val="00A50D23"/>
    <w:rsid w:val="00A5265C"/>
    <w:rsid w:val="00A527D0"/>
    <w:rsid w:val="00A5498A"/>
    <w:rsid w:val="00A55AA2"/>
    <w:rsid w:val="00A60EDA"/>
    <w:rsid w:val="00A658BD"/>
    <w:rsid w:val="00A65C79"/>
    <w:rsid w:val="00A75A2F"/>
    <w:rsid w:val="00A805D4"/>
    <w:rsid w:val="00A85A10"/>
    <w:rsid w:val="00A86255"/>
    <w:rsid w:val="00A8796B"/>
    <w:rsid w:val="00A934E2"/>
    <w:rsid w:val="00A96BD9"/>
    <w:rsid w:val="00AA0B13"/>
    <w:rsid w:val="00AA1F36"/>
    <w:rsid w:val="00AA2F8D"/>
    <w:rsid w:val="00AA610F"/>
    <w:rsid w:val="00AA6225"/>
    <w:rsid w:val="00AB3A62"/>
    <w:rsid w:val="00AB769B"/>
    <w:rsid w:val="00AC0A34"/>
    <w:rsid w:val="00AC1FA7"/>
    <w:rsid w:val="00AC3751"/>
    <w:rsid w:val="00AC638B"/>
    <w:rsid w:val="00AD0E55"/>
    <w:rsid w:val="00AD1FDE"/>
    <w:rsid w:val="00AD3AEF"/>
    <w:rsid w:val="00AD6F82"/>
    <w:rsid w:val="00AD7D26"/>
    <w:rsid w:val="00AE13D0"/>
    <w:rsid w:val="00AF1412"/>
    <w:rsid w:val="00AF4A0F"/>
    <w:rsid w:val="00B010B6"/>
    <w:rsid w:val="00B02028"/>
    <w:rsid w:val="00B0339B"/>
    <w:rsid w:val="00B06EE7"/>
    <w:rsid w:val="00B108FF"/>
    <w:rsid w:val="00B10AE8"/>
    <w:rsid w:val="00B1113C"/>
    <w:rsid w:val="00B128D1"/>
    <w:rsid w:val="00B1330D"/>
    <w:rsid w:val="00B13E89"/>
    <w:rsid w:val="00B14EAA"/>
    <w:rsid w:val="00B155BD"/>
    <w:rsid w:val="00B1566E"/>
    <w:rsid w:val="00B15F05"/>
    <w:rsid w:val="00B16F07"/>
    <w:rsid w:val="00B22CDC"/>
    <w:rsid w:val="00B24E70"/>
    <w:rsid w:val="00B30351"/>
    <w:rsid w:val="00B31FC2"/>
    <w:rsid w:val="00B3229A"/>
    <w:rsid w:val="00B343D6"/>
    <w:rsid w:val="00B353F2"/>
    <w:rsid w:val="00B36DA5"/>
    <w:rsid w:val="00B36FE7"/>
    <w:rsid w:val="00B41823"/>
    <w:rsid w:val="00B42F8F"/>
    <w:rsid w:val="00B459D3"/>
    <w:rsid w:val="00B51132"/>
    <w:rsid w:val="00B542D4"/>
    <w:rsid w:val="00B551E9"/>
    <w:rsid w:val="00B571D5"/>
    <w:rsid w:val="00B57D05"/>
    <w:rsid w:val="00B60910"/>
    <w:rsid w:val="00B62908"/>
    <w:rsid w:val="00B70393"/>
    <w:rsid w:val="00B704DC"/>
    <w:rsid w:val="00B71189"/>
    <w:rsid w:val="00B71F2C"/>
    <w:rsid w:val="00B726A2"/>
    <w:rsid w:val="00B7799E"/>
    <w:rsid w:val="00B878CB"/>
    <w:rsid w:val="00B9152E"/>
    <w:rsid w:val="00B92F00"/>
    <w:rsid w:val="00B932B5"/>
    <w:rsid w:val="00B935A3"/>
    <w:rsid w:val="00BA680D"/>
    <w:rsid w:val="00BA781B"/>
    <w:rsid w:val="00BA7BA3"/>
    <w:rsid w:val="00BB0104"/>
    <w:rsid w:val="00BB1DFA"/>
    <w:rsid w:val="00BB3659"/>
    <w:rsid w:val="00BB7E09"/>
    <w:rsid w:val="00BC0BF3"/>
    <w:rsid w:val="00BC1668"/>
    <w:rsid w:val="00BD1C02"/>
    <w:rsid w:val="00BD45CF"/>
    <w:rsid w:val="00BD4F2D"/>
    <w:rsid w:val="00BD5358"/>
    <w:rsid w:val="00BD6916"/>
    <w:rsid w:val="00BE0FA6"/>
    <w:rsid w:val="00BE176D"/>
    <w:rsid w:val="00BE4D87"/>
    <w:rsid w:val="00BE5A00"/>
    <w:rsid w:val="00BE7118"/>
    <w:rsid w:val="00BF0FD7"/>
    <w:rsid w:val="00BF1566"/>
    <w:rsid w:val="00BF43B4"/>
    <w:rsid w:val="00BF737D"/>
    <w:rsid w:val="00C01F18"/>
    <w:rsid w:val="00C03BB8"/>
    <w:rsid w:val="00C03CDE"/>
    <w:rsid w:val="00C05522"/>
    <w:rsid w:val="00C05E10"/>
    <w:rsid w:val="00C07288"/>
    <w:rsid w:val="00C10357"/>
    <w:rsid w:val="00C142B7"/>
    <w:rsid w:val="00C16158"/>
    <w:rsid w:val="00C16747"/>
    <w:rsid w:val="00C21CA6"/>
    <w:rsid w:val="00C21FB8"/>
    <w:rsid w:val="00C224DA"/>
    <w:rsid w:val="00C27C49"/>
    <w:rsid w:val="00C30479"/>
    <w:rsid w:val="00C35504"/>
    <w:rsid w:val="00C3652A"/>
    <w:rsid w:val="00C5621B"/>
    <w:rsid w:val="00C62871"/>
    <w:rsid w:val="00C648CE"/>
    <w:rsid w:val="00C6627B"/>
    <w:rsid w:val="00C72E35"/>
    <w:rsid w:val="00C74BFE"/>
    <w:rsid w:val="00C75752"/>
    <w:rsid w:val="00C75A9D"/>
    <w:rsid w:val="00C83C26"/>
    <w:rsid w:val="00C84BB6"/>
    <w:rsid w:val="00C8562E"/>
    <w:rsid w:val="00C868B3"/>
    <w:rsid w:val="00C945E5"/>
    <w:rsid w:val="00C96147"/>
    <w:rsid w:val="00CA1B27"/>
    <w:rsid w:val="00CA4622"/>
    <w:rsid w:val="00CB0827"/>
    <w:rsid w:val="00CB26FC"/>
    <w:rsid w:val="00CB6EBA"/>
    <w:rsid w:val="00CC18F5"/>
    <w:rsid w:val="00CC20C5"/>
    <w:rsid w:val="00CC2A3A"/>
    <w:rsid w:val="00CC5C44"/>
    <w:rsid w:val="00CC75E6"/>
    <w:rsid w:val="00CD14AB"/>
    <w:rsid w:val="00CD5623"/>
    <w:rsid w:val="00CD6201"/>
    <w:rsid w:val="00CD69CA"/>
    <w:rsid w:val="00CD7DB8"/>
    <w:rsid w:val="00CE27E8"/>
    <w:rsid w:val="00CE2A48"/>
    <w:rsid w:val="00CE2D78"/>
    <w:rsid w:val="00CF21A0"/>
    <w:rsid w:val="00CF25A0"/>
    <w:rsid w:val="00CF3C3A"/>
    <w:rsid w:val="00D0133E"/>
    <w:rsid w:val="00D0137D"/>
    <w:rsid w:val="00D1593B"/>
    <w:rsid w:val="00D17C2A"/>
    <w:rsid w:val="00D26A48"/>
    <w:rsid w:val="00D340C1"/>
    <w:rsid w:val="00D35DC0"/>
    <w:rsid w:val="00D4140D"/>
    <w:rsid w:val="00D43BE2"/>
    <w:rsid w:val="00D4577D"/>
    <w:rsid w:val="00D45B90"/>
    <w:rsid w:val="00D470B0"/>
    <w:rsid w:val="00D4730D"/>
    <w:rsid w:val="00D4751E"/>
    <w:rsid w:val="00D52682"/>
    <w:rsid w:val="00D53DC1"/>
    <w:rsid w:val="00D569D0"/>
    <w:rsid w:val="00D57656"/>
    <w:rsid w:val="00D61254"/>
    <w:rsid w:val="00D647D8"/>
    <w:rsid w:val="00D6794F"/>
    <w:rsid w:val="00D679A9"/>
    <w:rsid w:val="00D721FB"/>
    <w:rsid w:val="00D737A8"/>
    <w:rsid w:val="00D8391B"/>
    <w:rsid w:val="00D84064"/>
    <w:rsid w:val="00D865E7"/>
    <w:rsid w:val="00D91DB7"/>
    <w:rsid w:val="00D979E4"/>
    <w:rsid w:val="00DA710C"/>
    <w:rsid w:val="00DB0AFD"/>
    <w:rsid w:val="00DB0BD3"/>
    <w:rsid w:val="00DB6026"/>
    <w:rsid w:val="00DC3285"/>
    <w:rsid w:val="00DC7A64"/>
    <w:rsid w:val="00DD1BAF"/>
    <w:rsid w:val="00DD29F9"/>
    <w:rsid w:val="00DD40D3"/>
    <w:rsid w:val="00DE45F2"/>
    <w:rsid w:val="00DE49C2"/>
    <w:rsid w:val="00DE4BC5"/>
    <w:rsid w:val="00DE5D04"/>
    <w:rsid w:val="00DF46B2"/>
    <w:rsid w:val="00E04750"/>
    <w:rsid w:val="00E04851"/>
    <w:rsid w:val="00E11F90"/>
    <w:rsid w:val="00E20ADC"/>
    <w:rsid w:val="00E20E02"/>
    <w:rsid w:val="00E218EB"/>
    <w:rsid w:val="00E22719"/>
    <w:rsid w:val="00E25652"/>
    <w:rsid w:val="00E25CE1"/>
    <w:rsid w:val="00E264F3"/>
    <w:rsid w:val="00E3149A"/>
    <w:rsid w:val="00E41134"/>
    <w:rsid w:val="00E42443"/>
    <w:rsid w:val="00E42997"/>
    <w:rsid w:val="00E42FB2"/>
    <w:rsid w:val="00E44BB5"/>
    <w:rsid w:val="00E45698"/>
    <w:rsid w:val="00E51F8D"/>
    <w:rsid w:val="00E604A8"/>
    <w:rsid w:val="00E61860"/>
    <w:rsid w:val="00E72228"/>
    <w:rsid w:val="00E7321E"/>
    <w:rsid w:val="00E733E4"/>
    <w:rsid w:val="00E74AE4"/>
    <w:rsid w:val="00E74DA0"/>
    <w:rsid w:val="00E82C4B"/>
    <w:rsid w:val="00E82F40"/>
    <w:rsid w:val="00E863B3"/>
    <w:rsid w:val="00E86C07"/>
    <w:rsid w:val="00E96D52"/>
    <w:rsid w:val="00E972FE"/>
    <w:rsid w:val="00EA1EF3"/>
    <w:rsid w:val="00EA23E4"/>
    <w:rsid w:val="00EA56E4"/>
    <w:rsid w:val="00EA7389"/>
    <w:rsid w:val="00EB0B75"/>
    <w:rsid w:val="00EB0DFF"/>
    <w:rsid w:val="00EB6169"/>
    <w:rsid w:val="00EB7666"/>
    <w:rsid w:val="00ED4563"/>
    <w:rsid w:val="00ED6337"/>
    <w:rsid w:val="00EE17A9"/>
    <w:rsid w:val="00EE2701"/>
    <w:rsid w:val="00EE6536"/>
    <w:rsid w:val="00EF6CFA"/>
    <w:rsid w:val="00EF7C39"/>
    <w:rsid w:val="00F0116C"/>
    <w:rsid w:val="00F01C7A"/>
    <w:rsid w:val="00F02740"/>
    <w:rsid w:val="00F04C0A"/>
    <w:rsid w:val="00F068B5"/>
    <w:rsid w:val="00F06EDF"/>
    <w:rsid w:val="00F070B4"/>
    <w:rsid w:val="00F13868"/>
    <w:rsid w:val="00F14434"/>
    <w:rsid w:val="00F1731D"/>
    <w:rsid w:val="00F21783"/>
    <w:rsid w:val="00F21CC0"/>
    <w:rsid w:val="00F243DC"/>
    <w:rsid w:val="00F353A9"/>
    <w:rsid w:val="00F4597F"/>
    <w:rsid w:val="00F45D8C"/>
    <w:rsid w:val="00F663E8"/>
    <w:rsid w:val="00F676F1"/>
    <w:rsid w:val="00F677D8"/>
    <w:rsid w:val="00F707CD"/>
    <w:rsid w:val="00F7331A"/>
    <w:rsid w:val="00F73575"/>
    <w:rsid w:val="00F73DFA"/>
    <w:rsid w:val="00F73F56"/>
    <w:rsid w:val="00F74EBA"/>
    <w:rsid w:val="00F81DE9"/>
    <w:rsid w:val="00F85D95"/>
    <w:rsid w:val="00F8698F"/>
    <w:rsid w:val="00F90350"/>
    <w:rsid w:val="00F90B80"/>
    <w:rsid w:val="00F923ED"/>
    <w:rsid w:val="00FA41C3"/>
    <w:rsid w:val="00FA70C0"/>
    <w:rsid w:val="00FB3DAD"/>
    <w:rsid w:val="00FB6E65"/>
    <w:rsid w:val="00FC1E42"/>
    <w:rsid w:val="00FC5061"/>
    <w:rsid w:val="00FC5425"/>
    <w:rsid w:val="00FD102F"/>
    <w:rsid w:val="00FE4EAB"/>
    <w:rsid w:val="00FE5AEE"/>
    <w:rsid w:val="00FE6492"/>
    <w:rsid w:val="00FE793F"/>
    <w:rsid w:val="00FF0352"/>
    <w:rsid w:val="00FF0F0C"/>
    <w:rsid w:val="00FF1EFD"/>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5:docId w15:val="{C8E739E8-8DF1-4304-BEBC-A457081D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399"/>
    <w:rPr>
      <w:rFonts w:ascii="Arial" w:hAnsi="Arial"/>
      <w:sz w:val="24"/>
    </w:rPr>
  </w:style>
  <w:style w:type="paragraph" w:styleId="berschrift1">
    <w:name w:val="heading 1"/>
    <w:basedOn w:val="Standard"/>
    <w:next w:val="Standard"/>
    <w:qFormat/>
    <w:rsid w:val="00566399"/>
    <w:pPr>
      <w:keepNext/>
      <w:tabs>
        <w:tab w:val="left" w:pos="1134"/>
      </w:tabs>
      <w:jc w:val="both"/>
      <w:outlineLvl w:val="0"/>
    </w:pPr>
    <w:rPr>
      <w:b/>
      <w:sz w:val="22"/>
    </w:rPr>
  </w:style>
  <w:style w:type="paragraph" w:styleId="berschrift2">
    <w:name w:val="heading 2"/>
    <w:basedOn w:val="Standard"/>
    <w:next w:val="Standard"/>
    <w:qFormat/>
    <w:rsid w:val="00566399"/>
    <w:pPr>
      <w:keepNext/>
      <w:tabs>
        <w:tab w:val="left" w:pos="1134"/>
      </w:tabs>
      <w:jc w:val="both"/>
      <w:outlineLvl w:val="1"/>
    </w:pPr>
    <w:rPr>
      <w:b/>
    </w:rPr>
  </w:style>
  <w:style w:type="paragraph" w:styleId="berschrift3">
    <w:name w:val="heading 3"/>
    <w:basedOn w:val="Standard"/>
    <w:next w:val="Standard"/>
    <w:qFormat/>
    <w:rsid w:val="00566399"/>
    <w:pPr>
      <w:keepNext/>
      <w:tabs>
        <w:tab w:val="left" w:pos="1134"/>
      </w:tabs>
      <w:spacing w:line="360" w:lineRule="atLeast"/>
      <w:outlineLvl w:val="2"/>
    </w:pPr>
    <w:rPr>
      <w:b/>
      <w:spacing w:val="-8"/>
      <w:sz w:val="22"/>
    </w:rPr>
  </w:style>
  <w:style w:type="paragraph" w:styleId="berschrift4">
    <w:name w:val="heading 4"/>
    <w:basedOn w:val="Standard"/>
    <w:next w:val="Standard"/>
    <w:qFormat/>
    <w:rsid w:val="00566399"/>
    <w:pPr>
      <w:keepNext/>
      <w:spacing w:line="360" w:lineRule="auto"/>
      <w:outlineLvl w:val="3"/>
    </w:pPr>
    <w:rPr>
      <w:b/>
    </w:rPr>
  </w:style>
  <w:style w:type="paragraph" w:styleId="berschrift6">
    <w:name w:val="heading 6"/>
    <w:basedOn w:val="Standard"/>
    <w:next w:val="Standard"/>
    <w:qFormat/>
    <w:rsid w:val="00C75A9D"/>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566399"/>
    <w:pPr>
      <w:spacing w:line="360" w:lineRule="auto"/>
      <w:ind w:left="74"/>
      <w:jc w:val="both"/>
    </w:pPr>
  </w:style>
  <w:style w:type="paragraph" w:styleId="Funotentext">
    <w:name w:val="footnote text"/>
    <w:basedOn w:val="Standard"/>
    <w:link w:val="FunotentextZchn"/>
    <w:uiPriority w:val="99"/>
    <w:semiHidden/>
    <w:rsid w:val="00566399"/>
    <w:rPr>
      <w:sz w:val="20"/>
    </w:rPr>
  </w:style>
  <w:style w:type="character" w:styleId="Funotenzeichen">
    <w:name w:val="footnote reference"/>
    <w:basedOn w:val="Absatz-Standardschriftart"/>
    <w:uiPriority w:val="99"/>
    <w:semiHidden/>
    <w:rsid w:val="00566399"/>
    <w:rPr>
      <w:vertAlign w:val="superscript"/>
    </w:rPr>
  </w:style>
  <w:style w:type="paragraph" w:styleId="Fuzeile">
    <w:name w:val="footer"/>
    <w:basedOn w:val="Standard"/>
    <w:rsid w:val="00566399"/>
    <w:pPr>
      <w:tabs>
        <w:tab w:val="center" w:pos="4536"/>
        <w:tab w:val="right" w:pos="9072"/>
      </w:tabs>
    </w:pPr>
  </w:style>
  <w:style w:type="character" w:styleId="Seitenzahl">
    <w:name w:val="page number"/>
    <w:basedOn w:val="Absatz-Standardschriftart"/>
    <w:rsid w:val="00566399"/>
  </w:style>
  <w:style w:type="paragraph" w:styleId="Textkrper">
    <w:name w:val="Body Text"/>
    <w:basedOn w:val="Standard"/>
    <w:rsid w:val="00566399"/>
    <w:pPr>
      <w:jc w:val="both"/>
    </w:pPr>
  </w:style>
  <w:style w:type="paragraph" w:styleId="Kopfzeile">
    <w:name w:val="header"/>
    <w:basedOn w:val="Standard"/>
    <w:link w:val="KopfzeileZchn"/>
    <w:rsid w:val="00566399"/>
    <w:pPr>
      <w:tabs>
        <w:tab w:val="center" w:pos="4536"/>
        <w:tab w:val="right" w:pos="9072"/>
      </w:tabs>
    </w:pPr>
    <w:rPr>
      <w:sz w:val="22"/>
    </w:rPr>
  </w:style>
  <w:style w:type="paragraph" w:styleId="Textkrper2">
    <w:name w:val="Body Text 2"/>
    <w:basedOn w:val="Standard"/>
    <w:rsid w:val="00566399"/>
    <w:pPr>
      <w:jc w:val="both"/>
    </w:pPr>
    <w:rPr>
      <w:rFonts w:ascii="Lucida Sans Unicode" w:hAnsi="Lucida Sans Unicode"/>
      <w:sz w:val="22"/>
    </w:rPr>
  </w:style>
  <w:style w:type="paragraph" w:styleId="Sprechblasentext">
    <w:name w:val="Balloon Text"/>
    <w:basedOn w:val="Standard"/>
    <w:semiHidden/>
    <w:rsid w:val="009D4819"/>
    <w:rPr>
      <w:rFonts w:ascii="Tahoma" w:hAnsi="Tahoma" w:cs="Tahoma"/>
      <w:sz w:val="16"/>
      <w:szCs w:val="16"/>
    </w:rPr>
  </w:style>
  <w:style w:type="character" w:styleId="Fett">
    <w:name w:val="Strong"/>
    <w:basedOn w:val="Absatz-Standardschriftart"/>
    <w:qFormat/>
    <w:rsid w:val="00C75A9D"/>
    <w:rPr>
      <w:b/>
    </w:rPr>
  </w:style>
  <w:style w:type="paragraph" w:customStyle="1" w:styleId="KeinAbsatzformat">
    <w:name w:val="[Kein Absatzformat]"/>
    <w:rsid w:val="00C75A9D"/>
    <w:pPr>
      <w:autoSpaceDE w:val="0"/>
      <w:autoSpaceDN w:val="0"/>
      <w:adjustRightInd w:val="0"/>
      <w:spacing w:line="288" w:lineRule="auto"/>
      <w:textAlignment w:val="center"/>
    </w:pPr>
    <w:rPr>
      <w:rFonts w:ascii="Times Regular" w:eastAsia="MS Mincho" w:hAnsi="Times Regular" w:cs="Times Regular"/>
      <w:color w:val="000000"/>
      <w:sz w:val="24"/>
      <w:szCs w:val="24"/>
    </w:rPr>
  </w:style>
  <w:style w:type="paragraph" w:customStyle="1" w:styleId="01SubheadBlau">
    <w:name w:val="01_Subhead_Blau"/>
    <w:basedOn w:val="KeinAbsatzformat"/>
    <w:rsid w:val="00C75A9D"/>
    <w:pPr>
      <w:tabs>
        <w:tab w:val="left" w:pos="227"/>
      </w:tabs>
      <w:spacing w:line="290" w:lineRule="atLeast"/>
    </w:pPr>
    <w:rPr>
      <w:rFonts w:ascii="Frutiger LT Pro 45 Light" w:hAnsi="Frutiger LT Pro 45 Light" w:cs="Frutiger LT Pro 45 Light"/>
      <w:b/>
      <w:bCs/>
      <w:color w:val="006AAB"/>
      <w:spacing w:val="3"/>
      <w:sz w:val="18"/>
      <w:szCs w:val="18"/>
    </w:rPr>
  </w:style>
  <w:style w:type="character" w:customStyle="1" w:styleId="KopfzeileZchn">
    <w:name w:val="Kopfzeile Zchn"/>
    <w:basedOn w:val="Absatz-Standardschriftart"/>
    <w:link w:val="Kopfzeile"/>
    <w:rsid w:val="006503A7"/>
    <w:rPr>
      <w:rFonts w:ascii="Arial" w:hAnsi="Arial"/>
      <w:sz w:val="22"/>
      <w:lang w:val="en-GB" w:eastAsia="en-GB"/>
    </w:rPr>
  </w:style>
  <w:style w:type="paragraph" w:customStyle="1" w:styleId="berschriftI">
    <w:name w:val="Überschrift I"/>
    <w:basedOn w:val="Standard"/>
    <w:link w:val="berschriftIZchn"/>
    <w:qFormat/>
    <w:rsid w:val="00B15F05"/>
    <w:pPr>
      <w:spacing w:after="120" w:line="360" w:lineRule="auto"/>
      <w:jc w:val="both"/>
    </w:pPr>
    <w:rPr>
      <w:rFonts w:eastAsiaTheme="minorHAnsi" w:cs="Arial"/>
      <w:b/>
      <w:caps/>
      <w:color w:val="0070C0"/>
      <w:spacing w:val="20"/>
      <w:szCs w:val="24"/>
    </w:rPr>
  </w:style>
  <w:style w:type="character" w:customStyle="1" w:styleId="berschriftIZchn">
    <w:name w:val="Überschrift I Zchn"/>
    <w:basedOn w:val="Absatz-Standardschriftart"/>
    <w:link w:val="berschriftI"/>
    <w:rsid w:val="00B15F05"/>
    <w:rPr>
      <w:rFonts w:ascii="Arial" w:eastAsiaTheme="minorHAnsi" w:hAnsi="Arial" w:cs="Arial"/>
      <w:b/>
      <w:caps/>
      <w:color w:val="0070C0"/>
      <w:spacing w:val="20"/>
      <w:sz w:val="24"/>
      <w:szCs w:val="24"/>
      <w:lang w:val="en-GB"/>
    </w:rPr>
  </w:style>
  <w:style w:type="paragraph" w:customStyle="1" w:styleId="berschriftII">
    <w:name w:val="Überschrift II"/>
    <w:basedOn w:val="Standard"/>
    <w:link w:val="berschriftIIZchn"/>
    <w:qFormat/>
    <w:rsid w:val="00B15F05"/>
    <w:pPr>
      <w:spacing w:after="120" w:line="360" w:lineRule="auto"/>
      <w:jc w:val="both"/>
    </w:pPr>
    <w:rPr>
      <w:rFonts w:eastAsiaTheme="minorHAnsi" w:cs="Arial"/>
      <w:b/>
      <w:caps/>
      <w:sz w:val="20"/>
    </w:rPr>
  </w:style>
  <w:style w:type="character" w:customStyle="1" w:styleId="berschriftIIZchn">
    <w:name w:val="Überschrift II Zchn"/>
    <w:basedOn w:val="Absatz-Standardschriftart"/>
    <w:link w:val="berschriftII"/>
    <w:rsid w:val="00B15F05"/>
    <w:rPr>
      <w:rFonts w:ascii="Arial" w:eastAsiaTheme="minorHAnsi" w:hAnsi="Arial" w:cs="Arial"/>
      <w:b/>
      <w:caps/>
      <w:lang w:val="en-GB"/>
    </w:rPr>
  </w:style>
  <w:style w:type="character" w:customStyle="1" w:styleId="st">
    <w:name w:val="st"/>
    <w:basedOn w:val="Absatz-Standardschriftart"/>
    <w:rsid w:val="00F1731D"/>
  </w:style>
  <w:style w:type="character" w:customStyle="1" w:styleId="FunotentextZchn">
    <w:name w:val="Fußnotentext Zchn"/>
    <w:basedOn w:val="Absatz-Standardschriftart"/>
    <w:link w:val="Funotentext"/>
    <w:uiPriority w:val="99"/>
    <w:semiHidden/>
    <w:rsid w:val="00AB3A62"/>
    <w:rPr>
      <w:rFonts w:ascii="Arial" w:hAnsi="Arial"/>
      <w:lang w:val="en-GB" w:eastAsia="en-GB"/>
    </w:rPr>
  </w:style>
  <w:style w:type="paragraph" w:styleId="Listenabsatz">
    <w:name w:val="List Paragraph"/>
    <w:basedOn w:val="Standard"/>
    <w:uiPriority w:val="34"/>
    <w:qFormat/>
    <w:rsid w:val="00624ED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007E-EAD8-4C98-B875-E88BEF0B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Zwischenmitteilung über das erste Quartal 2007</vt:lpstr>
    </vt:vector>
  </TitlesOfParts>
  <Company>KSB</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Zwischenmitteilung über das erste Quartal 2007</dc:title>
  <dc:creator>Ullrich Bingenheimer</dc:creator>
  <cp:lastModifiedBy>Steffel, Lena</cp:lastModifiedBy>
  <cp:revision>2</cp:revision>
  <cp:lastPrinted>2016-01-27T08:26:00Z</cp:lastPrinted>
  <dcterms:created xsi:type="dcterms:W3CDTF">2021-03-09T11:43:00Z</dcterms:created>
  <dcterms:modified xsi:type="dcterms:W3CDTF">2021-03-09T11:43:00Z</dcterms:modified>
</cp:coreProperties>
</file>