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C2" w:rsidRPr="008463F0" w:rsidRDefault="00404CC2" w:rsidP="00404CC2">
      <w:pPr>
        <w:jc w:val="both"/>
        <w:rPr>
          <w:rFonts w:ascii="Arial" w:hAnsi="Arial" w:cs="Arial"/>
          <w:b/>
          <w:i/>
        </w:rPr>
      </w:pPr>
      <w:r>
        <w:rPr>
          <w:rFonts w:ascii="Arial" w:hAnsi="Arial"/>
          <w:b/>
          <w:i/>
        </w:rPr>
        <w:t>New system puts pumps into the Internet of Things</w:t>
      </w:r>
    </w:p>
    <w:p w:rsidR="00404CC2" w:rsidRPr="008463F0" w:rsidRDefault="00404CC2" w:rsidP="00404CC2">
      <w:pPr>
        <w:jc w:val="both"/>
        <w:rPr>
          <w:rFonts w:ascii="Arial" w:hAnsi="Arial" w:cs="Arial"/>
          <w:b/>
          <w:i/>
        </w:rPr>
      </w:pPr>
    </w:p>
    <w:p w:rsidR="000755D1" w:rsidRPr="008463F0" w:rsidRDefault="00404CC2" w:rsidP="000755D1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At this year’s ACHEMA, KSB is presenting a new pump monitoring system called KSB Guard. Networked vibration and temperature sensors fitted directly to the pump make availability at </w:t>
      </w:r>
      <w:r w:rsidR="0071462E">
        <w:rPr>
          <w:rFonts w:ascii="Arial" w:hAnsi="Arial"/>
        </w:rPr>
        <w:t>plant</w:t>
      </w:r>
      <w:r>
        <w:rPr>
          <w:rFonts w:ascii="Arial" w:hAnsi="Arial"/>
        </w:rPr>
        <w:t xml:space="preserve"> level transparent for the first time. The system ensures that changes in the operating behaviour of the machine are detected at an early stage, and maintenance </w:t>
      </w:r>
      <w:r w:rsidR="0071462E">
        <w:rPr>
          <w:rFonts w:ascii="Arial" w:hAnsi="Arial"/>
        </w:rPr>
        <w:t>work</w:t>
      </w:r>
      <w:r>
        <w:rPr>
          <w:rFonts w:ascii="Arial" w:hAnsi="Arial"/>
        </w:rPr>
        <w:t xml:space="preserve"> can be better planned, without having to be on site with the pump.</w:t>
      </w:r>
    </w:p>
    <w:p w:rsidR="000755D1" w:rsidRPr="008463F0" w:rsidRDefault="000755D1" w:rsidP="000755D1">
      <w:pPr>
        <w:jc w:val="both"/>
        <w:rPr>
          <w:rFonts w:ascii="Arial" w:hAnsi="Arial" w:cs="Arial"/>
        </w:rPr>
      </w:pPr>
    </w:p>
    <w:p w:rsidR="00404CC2" w:rsidRDefault="00F12C19" w:rsidP="00404CC2">
      <w:pPr>
        <w:jc w:val="both"/>
        <w:rPr>
          <w:rFonts w:ascii="Arial" w:hAnsi="Arial" w:cs="Arial"/>
        </w:rPr>
      </w:pPr>
      <w:r>
        <w:rPr>
          <w:rFonts w:ascii="Arial" w:hAnsi="Arial"/>
        </w:rPr>
        <w:t>Unlike previous systems, KSB Guard is ideally suited for retrofitting. The sensor unit is attached to the bearing bracket or the drive lantern of the pump using a magnet and adhesive, and can be mounted during operation, with no need for changes to the machine. A battery unit, which is also supplied, provides self-sufficient power supply.</w:t>
      </w:r>
    </w:p>
    <w:p w:rsidR="00F12C19" w:rsidRPr="008463F0" w:rsidRDefault="00F12C19" w:rsidP="00404CC2">
      <w:pPr>
        <w:jc w:val="both"/>
        <w:rPr>
          <w:rFonts w:ascii="Arial" w:hAnsi="Arial" w:cs="Arial"/>
        </w:rPr>
      </w:pPr>
    </w:p>
    <w:p w:rsidR="00404CC2" w:rsidRPr="008463F0" w:rsidRDefault="00404CC2" w:rsidP="00404CC2">
      <w:pPr>
        <w:jc w:val="both"/>
        <w:rPr>
          <w:rFonts w:ascii="Arial" w:hAnsi="Arial" w:cs="Arial"/>
        </w:rPr>
      </w:pPr>
      <w:r>
        <w:rPr>
          <w:rFonts w:ascii="Arial" w:hAnsi="Arial"/>
        </w:rPr>
        <w:t>The data, which is captured hourly, is transferred directly and wirelessly in encrypted form to the KSB Cloud via a gateway for processing. Users can query the status data of all monitored pumps at any time and from any location using their mobile phone, a tablet or a PC, without having to be on site. For maximum coverage in the field, KSB Guard establishes a mesh network within the monitored pumps, thereby minimising the number of gateways required.</w:t>
      </w:r>
    </w:p>
    <w:p w:rsidR="00404CC2" w:rsidRPr="008463F0" w:rsidRDefault="00404CC2" w:rsidP="00404CC2">
      <w:pPr>
        <w:jc w:val="both"/>
        <w:rPr>
          <w:rFonts w:ascii="Arial" w:hAnsi="Arial" w:cs="Arial"/>
        </w:rPr>
      </w:pPr>
    </w:p>
    <w:p w:rsidR="00404CC2" w:rsidRPr="008463F0" w:rsidRDefault="00404CC2" w:rsidP="00404CC2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In addition to current status data and recorded trends, other information on the pump – including the operating manual and exploded view – can be called up with just a few clicks. This gives the users quick and easy access to a comprehensive overview of the technical status of their pump population. In the event of the pump requiring maintenance, users also have all the necessary data at their fingertips. </w:t>
      </w:r>
    </w:p>
    <w:p w:rsidR="00404CC2" w:rsidRPr="008463F0" w:rsidRDefault="00404CC2" w:rsidP="00404CC2">
      <w:pPr>
        <w:jc w:val="both"/>
        <w:rPr>
          <w:rFonts w:ascii="Arial" w:hAnsi="Arial" w:cs="Arial"/>
        </w:rPr>
      </w:pPr>
    </w:p>
    <w:p w:rsidR="00721AD3" w:rsidRPr="008463F0" w:rsidRDefault="00404CC2" w:rsidP="00404CC2">
      <w:pPr>
        <w:jc w:val="both"/>
        <w:rPr>
          <w:rFonts w:ascii="Arial" w:hAnsi="Arial" w:cs="Arial"/>
        </w:rPr>
      </w:pPr>
      <w:r>
        <w:rPr>
          <w:rFonts w:ascii="Arial" w:hAnsi="Arial"/>
        </w:rPr>
        <w:t>If the average vibration velocity or the temperature exceeds a predefined or user-configured limit value, the system creates warnings or alerts. These can be delivered to the user via e-mail or push messages, as required, enabling action to be taken rapidly if the worst comes to the worst. The new device is d</w:t>
      </w:r>
      <w:bookmarkStart w:id="0" w:name="_GoBack"/>
      <w:r>
        <w:rPr>
          <w:rFonts w:ascii="Arial" w:hAnsi="Arial"/>
        </w:rPr>
        <w:t>e</w:t>
      </w:r>
      <w:bookmarkEnd w:id="0"/>
      <w:r>
        <w:rPr>
          <w:rFonts w:ascii="Arial" w:hAnsi="Arial"/>
        </w:rPr>
        <w:t>signed for centrifugal pumps from the manufacturer’s product range as well as for corresponding competitor pumps.</w:t>
      </w:r>
    </w:p>
    <w:p w:rsidR="00721AD3" w:rsidRPr="008463F0" w:rsidRDefault="00721AD3" w:rsidP="00404CC2">
      <w:pPr>
        <w:jc w:val="both"/>
        <w:rPr>
          <w:rFonts w:ascii="Arial" w:hAnsi="Arial" w:cs="Arial"/>
        </w:rPr>
      </w:pPr>
    </w:p>
    <w:p w:rsidR="00404CC2" w:rsidRPr="008463F0" w:rsidRDefault="00721AD3" w:rsidP="00404CC2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associated app or the web portal enables the user to </w:t>
      </w:r>
      <w:r w:rsidR="0071462E">
        <w:rPr>
          <w:rFonts w:ascii="Arial" w:hAnsi="Arial"/>
        </w:rPr>
        <w:t>view</w:t>
      </w:r>
      <w:r>
        <w:rPr>
          <w:rFonts w:ascii="Arial" w:hAnsi="Arial"/>
        </w:rPr>
        <w:t xml:space="preserve"> the current load condition and the load profile of their fixed speed pumps at any time. The new system builds on the technologies already </w:t>
      </w:r>
      <w:r w:rsidR="0071462E">
        <w:rPr>
          <w:rFonts w:ascii="Arial" w:hAnsi="Arial"/>
        </w:rPr>
        <w:t>employed</w:t>
      </w:r>
      <w:r>
        <w:rPr>
          <w:rFonts w:ascii="Arial" w:hAnsi="Arial"/>
        </w:rPr>
        <w:t xml:space="preserve"> in earlier monitoring and analysis units.</w:t>
      </w:r>
    </w:p>
    <w:p w:rsidR="00404CC2" w:rsidRPr="008463F0" w:rsidRDefault="00404CC2" w:rsidP="00404CC2">
      <w:pPr>
        <w:jc w:val="both"/>
        <w:rPr>
          <w:rFonts w:ascii="Arial" w:hAnsi="Arial" w:cs="Arial"/>
        </w:rPr>
      </w:pPr>
    </w:p>
    <w:p w:rsidR="00404CC2" w:rsidRPr="008463F0" w:rsidRDefault="00404CC2" w:rsidP="00404CC2">
      <w:pPr>
        <w:jc w:val="both"/>
        <w:rPr>
          <w:rFonts w:ascii="Arial" w:hAnsi="Arial" w:cs="Arial"/>
        </w:rPr>
      </w:pPr>
      <w:r>
        <w:rPr>
          <w:rFonts w:ascii="Arial" w:hAnsi="Arial"/>
        </w:rPr>
        <w:t>The aim of the newly developed solution was to create a cost-effective interface to the Internet of Things for the vast number of pumps in operation worldwide.</w:t>
      </w:r>
    </w:p>
    <w:p w:rsidR="00404CC2" w:rsidRPr="008463F0" w:rsidRDefault="00404CC2" w:rsidP="00404CC2">
      <w:pPr>
        <w:jc w:val="both"/>
        <w:rPr>
          <w:rFonts w:ascii="Arial" w:hAnsi="Arial" w:cs="Arial"/>
        </w:rPr>
      </w:pPr>
    </w:p>
    <w:p w:rsidR="00404CC2" w:rsidRDefault="00404CC2" w:rsidP="00404CC2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Photo: The new KSB Guard pump monitoring system enables existing pumps to be connected to the Internet of Things in just a </w:t>
      </w:r>
      <w:r w:rsidR="0071462E">
        <w:rPr>
          <w:rFonts w:ascii="Arial" w:hAnsi="Arial"/>
        </w:rPr>
        <w:t>few</w:t>
      </w:r>
      <w:r>
        <w:rPr>
          <w:rFonts w:ascii="Arial" w:hAnsi="Arial"/>
        </w:rPr>
        <w:t xml:space="preserve"> minutes. (Copyright: KSB SE &amp; Co. KGaA, Frankenthal )</w:t>
      </w:r>
    </w:p>
    <w:sectPr w:rsidR="00404CC2" w:rsidSect="00475682">
      <w:pgSz w:w="11906" w:h="16838"/>
      <w:pgMar w:top="993" w:right="25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D571122-B2F0-4304-9093-C68BBBF07B3A}"/>
    <w:docVar w:name="dgnword-eventsink" w:val="244034128"/>
  </w:docVars>
  <w:rsids>
    <w:rsidRoot w:val="00671905"/>
    <w:rsid w:val="00000648"/>
    <w:rsid w:val="000627F1"/>
    <w:rsid w:val="000755D1"/>
    <w:rsid w:val="000D5033"/>
    <w:rsid w:val="000F7D58"/>
    <w:rsid w:val="00126AC7"/>
    <w:rsid w:val="00177B10"/>
    <w:rsid w:val="001D10BB"/>
    <w:rsid w:val="001E7EEB"/>
    <w:rsid w:val="00207559"/>
    <w:rsid w:val="00266692"/>
    <w:rsid w:val="002D0E06"/>
    <w:rsid w:val="002D4FB9"/>
    <w:rsid w:val="002F1ABE"/>
    <w:rsid w:val="003038EE"/>
    <w:rsid w:val="00342C47"/>
    <w:rsid w:val="003848FD"/>
    <w:rsid w:val="0039693F"/>
    <w:rsid w:val="00404CC2"/>
    <w:rsid w:val="00473627"/>
    <w:rsid w:val="00475682"/>
    <w:rsid w:val="004B2103"/>
    <w:rsid w:val="004C5F26"/>
    <w:rsid w:val="004E1DB1"/>
    <w:rsid w:val="005142D7"/>
    <w:rsid w:val="005506EB"/>
    <w:rsid w:val="005839DC"/>
    <w:rsid w:val="0059280C"/>
    <w:rsid w:val="005A53C6"/>
    <w:rsid w:val="005B242E"/>
    <w:rsid w:val="005D7D51"/>
    <w:rsid w:val="00644126"/>
    <w:rsid w:val="00671905"/>
    <w:rsid w:val="006E385D"/>
    <w:rsid w:val="006F0983"/>
    <w:rsid w:val="006F5684"/>
    <w:rsid w:val="0071462E"/>
    <w:rsid w:val="00721AD3"/>
    <w:rsid w:val="00752BED"/>
    <w:rsid w:val="007B5E77"/>
    <w:rsid w:val="007E554E"/>
    <w:rsid w:val="008126CB"/>
    <w:rsid w:val="00821BDE"/>
    <w:rsid w:val="008273E4"/>
    <w:rsid w:val="008463F0"/>
    <w:rsid w:val="00923F22"/>
    <w:rsid w:val="009421DF"/>
    <w:rsid w:val="009446FF"/>
    <w:rsid w:val="009663E2"/>
    <w:rsid w:val="00991A20"/>
    <w:rsid w:val="00995DE8"/>
    <w:rsid w:val="009A4374"/>
    <w:rsid w:val="00A04282"/>
    <w:rsid w:val="00A92445"/>
    <w:rsid w:val="00AE0D69"/>
    <w:rsid w:val="00B056D5"/>
    <w:rsid w:val="00B101C8"/>
    <w:rsid w:val="00B44B92"/>
    <w:rsid w:val="00B86904"/>
    <w:rsid w:val="00B90959"/>
    <w:rsid w:val="00C14A01"/>
    <w:rsid w:val="00C167FC"/>
    <w:rsid w:val="00C575B8"/>
    <w:rsid w:val="00C61E5E"/>
    <w:rsid w:val="00C67174"/>
    <w:rsid w:val="00C7475A"/>
    <w:rsid w:val="00C8599E"/>
    <w:rsid w:val="00CA2754"/>
    <w:rsid w:val="00CB401E"/>
    <w:rsid w:val="00CC1819"/>
    <w:rsid w:val="00CD5E75"/>
    <w:rsid w:val="00D13EFB"/>
    <w:rsid w:val="00D23611"/>
    <w:rsid w:val="00D572A2"/>
    <w:rsid w:val="00D60EB8"/>
    <w:rsid w:val="00D74912"/>
    <w:rsid w:val="00DA7677"/>
    <w:rsid w:val="00DE6E6E"/>
    <w:rsid w:val="00E54017"/>
    <w:rsid w:val="00E67FB8"/>
    <w:rsid w:val="00E953CE"/>
    <w:rsid w:val="00EA1C1E"/>
    <w:rsid w:val="00EC0AA1"/>
    <w:rsid w:val="00EE527B"/>
    <w:rsid w:val="00F12C19"/>
    <w:rsid w:val="00F54B83"/>
    <w:rsid w:val="00F6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DE286-A636-4189-9972-5A9ACA58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C671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67174"/>
    <w:rPr>
      <w:rFonts w:ascii="Segoe UI" w:hAnsi="Segoe UI" w:cs="Segoe UI"/>
      <w:sz w:val="18"/>
      <w:szCs w:val="18"/>
      <w:lang w:val="en-GB" w:eastAsia="en-GB"/>
    </w:rPr>
  </w:style>
  <w:style w:type="character" w:styleId="Kommentarzeichen">
    <w:name w:val="annotation reference"/>
    <w:basedOn w:val="Absatz-Standardschriftart"/>
    <w:semiHidden/>
    <w:unhideWhenUsed/>
    <w:rsid w:val="00CD5E7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D5E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D5E75"/>
    <w:rPr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D5E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D5E75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012B-44D4-4D5B-BE52-C8A2B5B71B24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74F518-974E-463D-B6EE-A1E39FC24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D3D10-030B-452D-BF0D-9D2EAFD3B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D9A118-F595-4A8A-9E4D-EE13900E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 Group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PAULCHR</dc:creator>
  <cp:keywords/>
  <dc:description>Übers.: Lexsys, QM jp</dc:description>
  <cp:lastModifiedBy>pospjoh</cp:lastModifiedBy>
  <cp:revision>4</cp:revision>
  <cp:lastPrinted>2018-03-06T07:28:00Z</cp:lastPrinted>
  <dcterms:created xsi:type="dcterms:W3CDTF">2018-03-09T11:14:00Z</dcterms:created>
  <dcterms:modified xsi:type="dcterms:W3CDTF">2018-03-09T11:43:00Z</dcterms:modified>
</cp:coreProperties>
</file>